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D7" w:rsidRPr="00B4472C" w:rsidRDefault="00462DD7" w:rsidP="00462DD7">
      <w:pPr>
        <w:spacing w:before="240" w:after="0" w:line="34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B4472C">
        <w:rPr>
          <w:rFonts w:ascii="Franklin Gothic Book" w:eastAsia="Times New Roman" w:hAnsi="Franklin Gothic Book" w:cs="Times New Roman"/>
          <w:b/>
          <w:bCs/>
          <w:color w:val="1F497D"/>
          <w:kern w:val="36"/>
          <w:sz w:val="32"/>
          <w:szCs w:val="32"/>
        </w:rPr>
        <w:t>Introducción</w:t>
      </w:r>
      <w:proofErr w:type="spellEnd"/>
    </w:p>
    <w:p w:rsidR="00462DD7" w:rsidRPr="00B4472C" w:rsidRDefault="00462DD7" w:rsidP="0046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472C">
        <w:rPr>
          <w:rFonts w:ascii="Franklin Gothic Book" w:eastAsia="Times New Roman" w:hAnsi="Franklin Gothic Book" w:cs="Times New Roman"/>
          <w:color w:val="000000"/>
        </w:rPr>
        <w:t> </w:t>
      </w:r>
    </w:p>
    <w:p w:rsidR="00462DD7" w:rsidRPr="00B4472C" w:rsidRDefault="00462DD7" w:rsidP="00462D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4472C">
        <w:rPr>
          <w:rFonts w:ascii="Franklin Gothic Book" w:eastAsia="Times New Roman" w:hAnsi="Franklin Gothic Book" w:cs="Times New Roman"/>
          <w:color w:val="000000"/>
        </w:rPr>
        <w:t xml:space="preserve">El 25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febrero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2021, la Corte Suprema del Estado de Washington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decidió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el </w:t>
      </w:r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 xml:space="preserve">Estado contra </w:t>
      </w:r>
      <w:proofErr w:type="gramStart"/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Blake </w:t>
      </w:r>
      <w:r w:rsidRPr="00B4472C">
        <w:rPr>
          <w:rFonts w:ascii="Franklin Gothic Book" w:eastAsia="Times New Roman" w:hAnsi="Franklin Gothic Book" w:cs="Times New Roman"/>
          <w:color w:val="000000"/>
        </w:rPr>
        <w:t>,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No. 968373-0.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decisión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la Corte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determinó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que RCW 69.50.4013 (1)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violó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las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Constituciones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los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Estados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Unidos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y el Estado de Washington. </w:t>
      </w:r>
      <w:proofErr w:type="spellStart"/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Además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,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cuando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análisis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se</w:t>
      </w:r>
      <w:r w:rsidR="00291D11"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="00291D11" w:rsidRPr="00B4472C">
        <w:rPr>
          <w:rFonts w:ascii="Franklin Gothic Book" w:eastAsia="Times New Roman" w:hAnsi="Franklin Gothic Book" w:cs="Times New Roman"/>
          <w:color w:val="000000"/>
        </w:rPr>
        <w:t>aplica</w:t>
      </w:r>
      <w:proofErr w:type="spellEnd"/>
      <w:r w:rsidR="00291D11" w:rsidRPr="00B4472C">
        <w:rPr>
          <w:rFonts w:ascii="Franklin Gothic Book" w:eastAsia="Times New Roman" w:hAnsi="Franklin Gothic Book" w:cs="Times New Roman"/>
          <w:color w:val="000000"/>
        </w:rPr>
        <w:t xml:space="preserve"> a </w:t>
      </w:r>
      <w:proofErr w:type="spellStart"/>
      <w:r w:rsidR="00291D11" w:rsidRPr="00B4472C">
        <w:rPr>
          <w:rFonts w:ascii="Franklin Gothic Book" w:eastAsia="Times New Roman" w:hAnsi="Franklin Gothic Book" w:cs="Times New Roman"/>
          <w:color w:val="000000"/>
        </w:rPr>
        <w:t>otros</w:t>
      </w:r>
      <w:proofErr w:type="spellEnd"/>
      <w:r w:rsidR="00291D11" w:rsidRPr="00B4472C">
        <w:rPr>
          <w:rFonts w:ascii="Franklin Gothic Book" w:eastAsia="Times New Roman" w:hAnsi="Franklin Gothic Book" w:cs="Times New Roman"/>
          <w:color w:val="000000"/>
        </w:rPr>
        <w:t xml:space="preserve"> cargos </w:t>
      </w:r>
      <w:proofErr w:type="spellStart"/>
      <w:r w:rsidR="00291D11" w:rsidRPr="00B4472C">
        <w:rPr>
          <w:rFonts w:ascii="Franklin Gothic Book" w:eastAsia="Times New Roman" w:hAnsi="Franklin Gothic Book" w:cs="Times New Roman"/>
          <w:color w:val="000000"/>
        </w:rPr>
        <w:t>penales</w:t>
      </w:r>
      <w:proofErr w:type="spellEnd"/>
      <w:r w:rsidR="00291D11"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="00291D11"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posesión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tal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análisis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requeriría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mismo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resultado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</w:t>
      </w:r>
    </w:p>
    <w:p w:rsidR="00462DD7" w:rsidRPr="00B4472C" w:rsidRDefault="00462DD7" w:rsidP="00462D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decisión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>no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afecta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los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delitos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relacionados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con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drogas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más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allá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la simple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posesión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(p. </w:t>
      </w:r>
      <w:proofErr w:type="spellStart"/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Ej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.,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Posesión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con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intención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entregar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).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Además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si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fue</w:t>
      </w:r>
      <w:r w:rsidR="00291D11" w:rsidRPr="00B4472C">
        <w:rPr>
          <w:rFonts w:ascii="Franklin Gothic Book" w:eastAsia="Times New Roman" w:hAnsi="Franklin Gothic Book" w:cs="Times New Roman"/>
          <w:color w:val="000000"/>
        </w:rPr>
        <w:t>ra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resultado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negociaciones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declaración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culpabilidad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los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 xml:space="preserve">cargos </w:t>
      </w:r>
      <w:proofErr w:type="spellStart"/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>originales</w:t>
      </w:r>
      <w:proofErr w:type="spellEnd"/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>pueden</w:t>
      </w:r>
      <w:proofErr w:type="spellEnd"/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>ser</w:t>
      </w:r>
      <w:proofErr w:type="spellEnd"/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 xml:space="preserve"> </w:t>
      </w:r>
      <w:proofErr w:type="spellStart"/>
      <w:r w:rsidR="00804B43"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>restablecido</w:t>
      </w:r>
      <w:proofErr w:type="spellEnd"/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 xml:space="preserve"> y </w:t>
      </w:r>
      <w:proofErr w:type="spellStart"/>
      <w:r w:rsidRPr="00B4472C">
        <w:rPr>
          <w:rFonts w:ascii="Franklin Gothic Book" w:eastAsia="Times New Roman" w:hAnsi="Franklin Gothic Book" w:cs="Times New Roman"/>
          <w:b/>
          <w:bCs/>
          <w:i/>
          <w:iCs/>
          <w:color w:val="000000"/>
        </w:rPr>
        <w:t>procesado</w:t>
      </w:r>
      <w:proofErr w:type="spellEnd"/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. </w:t>
      </w:r>
      <w:r w:rsidRPr="00B4472C">
        <w:rPr>
          <w:rFonts w:ascii="Franklin Gothic Book" w:eastAsia="Times New Roman" w:hAnsi="Franklin Gothic Book" w:cs="Times New Roman"/>
          <w:color w:val="000000"/>
        </w:rPr>
        <w:t xml:space="preserve">Tal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resultado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puede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no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ser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deseado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y </w:t>
      </w:r>
      <w:proofErr w:type="spellStart"/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puede</w:t>
      </w:r>
      <w:proofErr w:type="spellEnd"/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resultar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un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delito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diferente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y / 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más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grave y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tiempo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adicional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custodia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</w:t>
      </w:r>
    </w:p>
    <w:p w:rsidR="00462DD7" w:rsidRPr="00B4472C" w:rsidRDefault="00462DD7" w:rsidP="00462D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4472C">
        <w:rPr>
          <w:rFonts w:ascii="Franklin Gothic Book" w:eastAsia="Times New Roman" w:hAnsi="Franklin Gothic Book" w:cs="Times New Roman"/>
          <w:color w:val="000000"/>
        </w:rPr>
        <w:t>Si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usted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ha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sido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un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delito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posesión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drogas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(s)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pueden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potencialmente</w:t>
      </w:r>
      <w:proofErr w:type="spellEnd"/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ser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desocupado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Además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si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tiene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antecedentes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penales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posteriores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y / 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sentencias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también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pueden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verse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afectadas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. Si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tiene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antecedentes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penales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Lewis 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(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ya</w:t>
      </w:r>
      <w:proofErr w:type="spellEnd"/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sea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un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delito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posesión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drogas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posterior ) y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desea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que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Oficina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lo revise de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manera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acelerada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 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proporcione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información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solicitada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continuación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 . De lo </w:t>
      </w:r>
      <w:proofErr w:type="spellStart"/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contrario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,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los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casos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se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revisarán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orden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fecha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y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fecha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presentación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comenzando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con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los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casos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más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recientes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</w:t>
      </w:r>
    </w:p>
    <w:p w:rsidR="00462DD7" w:rsidRPr="00B4472C" w:rsidRDefault="00462DD7" w:rsidP="00462DD7">
      <w:pPr>
        <w:spacing w:after="0" w:line="34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B4472C">
        <w:rPr>
          <w:rFonts w:ascii="Franklin Gothic Book" w:eastAsia="Times New Roman" w:hAnsi="Franklin Gothic Book" w:cs="Times New Roman"/>
          <w:b/>
          <w:bCs/>
          <w:color w:val="1F497D"/>
          <w:kern w:val="36"/>
          <w:sz w:val="32"/>
          <w:szCs w:val="32"/>
        </w:rPr>
        <w:t>Informacion</w:t>
      </w:r>
      <w:proofErr w:type="spellEnd"/>
      <w:r w:rsidRPr="00B4472C">
        <w:rPr>
          <w:rFonts w:ascii="Franklin Gothic Book" w:eastAsia="Times New Roman" w:hAnsi="Franklin Gothic Book" w:cs="Times New Roman"/>
          <w:b/>
          <w:bCs/>
          <w:color w:val="1F497D"/>
          <w:kern w:val="36"/>
          <w:sz w:val="32"/>
          <w:szCs w:val="32"/>
        </w:rPr>
        <w:t xml:space="preserve"> personal</w:t>
      </w:r>
    </w:p>
    <w:p w:rsidR="00462DD7" w:rsidRPr="00B4472C" w:rsidRDefault="00462DD7" w:rsidP="00462DD7">
      <w:pPr>
        <w:spacing w:line="238" w:lineRule="atLeast"/>
        <w:rPr>
          <w:rFonts w:ascii="Times New Roman" w:eastAsia="Times New Roman" w:hAnsi="Times New Roman" w:cs="Times New Roman"/>
          <w:color w:val="000000"/>
        </w:rPr>
      </w:pPr>
      <w:r w:rsidRPr="00B4472C">
        <w:rPr>
          <w:rFonts w:ascii="Franklin Gothic Book" w:eastAsia="Times New Roman" w:hAnsi="Franklin Gothic Book" w:cs="Times New Roman"/>
          <w:color w:val="000000"/>
        </w:rPr>
        <w:t> </w:t>
      </w:r>
    </w:p>
    <w:tbl>
      <w:tblPr>
        <w:tblW w:w="10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412"/>
      </w:tblGrid>
      <w:tr w:rsidR="00462DD7" w:rsidRPr="00B4472C" w:rsidTr="00462DD7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Nombre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(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nombre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,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segundo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nombre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,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apellido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)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2C">
              <w:rPr>
                <w:rFonts w:ascii="Franklin Gothic Book" w:eastAsia="Times New Roman" w:hAnsi="Franklin Gothic Book" w:cs="Times New Roman"/>
              </w:rPr>
              <w:t> </w:t>
            </w:r>
          </w:p>
        </w:tc>
      </w:tr>
      <w:tr w:rsidR="00462DD7" w:rsidRPr="00B4472C" w:rsidTr="00462DD7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Dirección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actual (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calle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, ciudad,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estado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,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código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postal)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2C">
              <w:rPr>
                <w:rFonts w:ascii="Franklin Gothic Book" w:eastAsia="Times New Roman" w:hAnsi="Franklin Gothic Book" w:cs="Times New Roman"/>
              </w:rPr>
              <w:t> </w:t>
            </w:r>
          </w:p>
        </w:tc>
      </w:tr>
      <w:tr w:rsidR="00462DD7" w:rsidRPr="00B4472C" w:rsidTr="00462DD7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Fecha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de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nacimiento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(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mes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/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día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/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año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)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2C">
              <w:rPr>
                <w:rFonts w:ascii="Franklin Gothic Book" w:eastAsia="Times New Roman" w:hAnsi="Franklin Gothic Book" w:cs="Times New Roman"/>
              </w:rPr>
              <w:t> </w:t>
            </w:r>
          </w:p>
        </w:tc>
      </w:tr>
      <w:tr w:rsidR="00462DD7" w:rsidRPr="00B4472C" w:rsidTr="00462DD7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Otros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nombres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usados</w:t>
            </w:r>
            <w:proofErr w:type="spellEnd"/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2C">
              <w:rPr>
                <w:rFonts w:ascii="Franklin Gothic Book" w:eastAsia="Times New Roman" w:hAnsi="Franklin Gothic Book" w:cs="Times New Roman"/>
              </w:rPr>
              <w:t> </w:t>
            </w:r>
          </w:p>
        </w:tc>
      </w:tr>
      <w:tr w:rsidR="00462DD7" w:rsidRPr="00B4472C" w:rsidTr="00462DD7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Mejor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número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de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contacto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(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incluido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el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código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de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área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)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2C">
              <w:rPr>
                <w:rFonts w:ascii="Franklin Gothic Book" w:eastAsia="Times New Roman" w:hAnsi="Franklin Gothic Book" w:cs="Times New Roman"/>
              </w:rPr>
              <w:t> </w:t>
            </w:r>
          </w:p>
        </w:tc>
      </w:tr>
      <w:tr w:rsidR="00462DD7" w:rsidRPr="00B4472C" w:rsidTr="00462DD7"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Número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(s) de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caso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afectado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(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si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 xml:space="preserve"> se </w:t>
            </w:r>
            <w:proofErr w:type="spellStart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conoce</w:t>
            </w:r>
            <w:proofErr w:type="spellEnd"/>
            <w:r w:rsidRPr="00B4472C">
              <w:rPr>
                <w:rFonts w:ascii="Franklin Gothic Book" w:eastAsia="Times New Roman" w:hAnsi="Franklin Gothic Book" w:cs="Times New Roman"/>
                <w:b/>
                <w:bCs/>
              </w:rPr>
              <w:t>)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D7" w:rsidRPr="00B4472C" w:rsidRDefault="00462DD7" w:rsidP="00462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2C">
              <w:rPr>
                <w:rFonts w:ascii="Franklin Gothic Book" w:eastAsia="Times New Roman" w:hAnsi="Franklin Gothic Book" w:cs="Times New Roman"/>
              </w:rPr>
              <w:t> </w:t>
            </w:r>
          </w:p>
        </w:tc>
      </w:tr>
    </w:tbl>
    <w:p w:rsidR="00462DD7" w:rsidRPr="00B4472C" w:rsidRDefault="00462DD7" w:rsidP="00462DD7">
      <w:pPr>
        <w:spacing w:before="240" w:after="0" w:line="34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B4472C">
        <w:rPr>
          <w:rFonts w:ascii="Franklin Gothic Book" w:eastAsia="Times New Roman" w:hAnsi="Franklin Gothic Book" w:cs="Times New Roman"/>
          <w:b/>
          <w:bCs/>
          <w:color w:val="1F497D"/>
          <w:kern w:val="36"/>
          <w:sz w:val="32"/>
          <w:szCs w:val="32"/>
        </w:rPr>
        <w:t>Firma</w:t>
      </w:r>
    </w:p>
    <w:p w:rsidR="00462DD7" w:rsidRPr="00B4472C" w:rsidRDefault="00462DD7" w:rsidP="0046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472C">
        <w:rPr>
          <w:rFonts w:ascii="Franklin Gothic Book" w:eastAsia="Times New Roman" w:hAnsi="Franklin Gothic Book" w:cs="Times New Roman"/>
          <w:color w:val="000000"/>
        </w:rPr>
        <w:t> </w:t>
      </w:r>
    </w:p>
    <w:p w:rsidR="00462DD7" w:rsidRPr="00B4472C" w:rsidRDefault="00462DD7" w:rsidP="00462D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Entiendo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que al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enviar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este</w:t>
      </w:r>
      <w:proofErr w:type="spellEnd"/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formulario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,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estoy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indicando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que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actualmente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no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estoy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representado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un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abogado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y que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estoy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actuando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pro se </w:t>
      </w:r>
      <w:r w:rsidRPr="00B4472C">
        <w:rPr>
          <w:rFonts w:ascii="Franklin Gothic Book" w:eastAsia="Times New Roman" w:hAnsi="Franklin Gothic Book" w:cs="Times New Roman"/>
          <w:color w:val="000000"/>
        </w:rPr>
        <w:t>(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mi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cuenta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).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algunas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circunstancias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podría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calificar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para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un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abogado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(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posiblemente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a cargo del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gasto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público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)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si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presento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documentación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judicial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mi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cuenta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pero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elijo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usar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formulario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pro se </w:t>
      </w:r>
      <w:r w:rsidRPr="00B4472C">
        <w:rPr>
          <w:rFonts w:ascii="Franklin Gothic Book" w:eastAsia="Times New Roman" w:hAnsi="Franklin Gothic Book" w:cs="Times New Roman"/>
          <w:color w:val="000000"/>
        </w:rPr>
        <w:t xml:space="preserve">para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acelerar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proceso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Entiendo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que 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Oficina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del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Fiscal del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Lewis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realizará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verificación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antecedentes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penales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para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cubrir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Washington y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otros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estados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Entiendo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que 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Oficina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del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Fiscal del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Lewis no me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representa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asunto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y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tiene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prohibido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ley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brindar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asesoramiento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legal con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respecto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cualquier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otro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asunto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, penal o civil.</w:t>
      </w:r>
    </w:p>
    <w:p w:rsidR="00462DD7" w:rsidRPr="00B4472C" w:rsidRDefault="00462DD7" w:rsidP="00462D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4472C">
        <w:rPr>
          <w:rFonts w:ascii="Franklin Gothic Book" w:eastAsia="Times New Roman" w:hAnsi="Franklin Gothic Book" w:cs="Times New Roman"/>
          <w:color w:val="000000"/>
        </w:rPr>
        <w:t xml:space="preserve">Si se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anula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un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delito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posesión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drogas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que no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constituye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un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delito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mayor,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entiendo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que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tal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resultado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no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obligatorio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según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el </w:t>
      </w:r>
      <w:proofErr w:type="spellStart"/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estado</w:t>
      </w:r>
      <w:proofErr w:type="spellEnd"/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 xml:space="preserve"> v. Blake. </w:t>
      </w:r>
      <w:r w:rsidRPr="00B4472C">
        <w:rPr>
          <w:rFonts w:ascii="Franklin Gothic Book" w:eastAsia="Times New Roman" w:hAnsi="Franklin Gothic Book" w:cs="Times New Roman"/>
          <w:color w:val="000000"/>
        </w:rPr>
        <w:t xml:space="preserve">Como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resultado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los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beneficios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colaterales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resultantes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las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vacaciones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condena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pueden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diferir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del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alivio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disponible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otros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asuntos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</w:t>
      </w:r>
    </w:p>
    <w:p w:rsidR="00462DD7" w:rsidRPr="00B4472C" w:rsidRDefault="00462DD7" w:rsidP="00462D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Entiendo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que no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estoy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obligado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a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enviar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formulario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y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puedo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si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así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lo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elijo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presentar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los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asuntos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directamente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al Tribunal,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ya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sea 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través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un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abogado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o </w:t>
      </w:r>
      <w:r w:rsidRPr="00B4472C">
        <w:rPr>
          <w:rFonts w:ascii="Franklin Gothic Book" w:eastAsia="Times New Roman" w:hAnsi="Franklin Gothic Book" w:cs="Times New Roman"/>
          <w:i/>
          <w:iCs/>
          <w:color w:val="000000"/>
        </w:rPr>
        <w:t>pro se </w:t>
      </w:r>
      <w:r w:rsidRPr="00B4472C">
        <w:rPr>
          <w:rFonts w:ascii="Franklin Gothic Book" w:eastAsia="Times New Roman" w:hAnsi="Franklin Gothic Book" w:cs="Times New Roman"/>
          <w:color w:val="000000"/>
        </w:rPr>
        <w:t xml:space="preserve">(sin un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abogado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).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Además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,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estoy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acuerdo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con que 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Oficina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del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Fiscal del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Condado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Lewis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está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brindando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servicio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como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una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cortesía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interés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la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justicia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 y que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puede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dejar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 de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ayudar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 el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proceso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cualquier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etapa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.</w:t>
      </w:r>
    </w:p>
    <w:p w:rsidR="00462DD7" w:rsidRPr="00B4472C" w:rsidRDefault="00462DD7" w:rsidP="00462DD7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Fechado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este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> 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día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 </w:t>
      </w:r>
      <w:proofErr w:type="gramStart"/>
      <w:r w:rsidRPr="00B4472C">
        <w:rPr>
          <w:rFonts w:ascii="Franklin Gothic Book" w:eastAsia="Times New Roman" w:hAnsi="Franklin Gothic Book" w:cs="Times New Roman"/>
          <w:color w:val="000000"/>
        </w:rPr>
        <w:t>20 .</w:t>
      </w:r>
      <w:proofErr w:type="gramEnd"/>
      <w:r w:rsidRPr="00B4472C">
        <w:rPr>
          <w:rFonts w:ascii="Franklin Gothic Book" w:eastAsia="Times New Roman" w:hAnsi="Franklin Gothic Book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462DD7" w:rsidRPr="00B4472C" w:rsidRDefault="00462DD7" w:rsidP="0046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472C">
        <w:rPr>
          <w:rFonts w:ascii="Franklin Gothic Book" w:eastAsia="Times New Roman" w:hAnsi="Franklin Gothic Book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</w:t>
      </w:r>
    </w:p>
    <w:p w:rsidR="00462DD7" w:rsidRPr="00B4472C" w:rsidRDefault="00462DD7" w:rsidP="00462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Nombre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en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letra</w:t>
      </w:r>
      <w:proofErr w:type="spellEnd"/>
      <w:r w:rsidRPr="00B4472C">
        <w:rPr>
          <w:rFonts w:ascii="Franklin Gothic Book" w:eastAsia="Times New Roman" w:hAnsi="Franklin Gothic Book" w:cs="Times New Roman"/>
          <w:color w:val="000000"/>
        </w:rPr>
        <w:t xml:space="preserve"> de imprenta:</w:t>
      </w:r>
      <w:r w:rsidRPr="00B4472C">
        <w:rPr>
          <w:rFonts w:ascii="Franklin Gothic Book" w:eastAsia="Times New Roman" w:hAnsi="Franklin Gothic Book" w:cs="Times New Roman"/>
          <w:color w:val="000000"/>
          <w:u w:val="single"/>
        </w:rPr>
        <w:t>                                                                     </w:t>
      </w:r>
    </w:p>
    <w:p w:rsidR="00687CFB" w:rsidRPr="00462DD7" w:rsidRDefault="00462DD7" w:rsidP="00462DD7">
      <w:pPr>
        <w:spacing w:line="240" w:lineRule="auto"/>
        <w:jc w:val="both"/>
      </w:pPr>
      <w:r w:rsidRPr="00B4472C">
        <w:rPr>
          <w:rFonts w:ascii="Franklin Gothic Book" w:eastAsia="Times New Roman" w:hAnsi="Franklin Gothic Book" w:cs="Times New Roman"/>
          <w:color w:val="000000"/>
        </w:rPr>
        <w:t xml:space="preserve">Parte </w:t>
      </w:r>
      <w:proofErr w:type="spellStart"/>
      <w:r w:rsidRPr="00B4472C">
        <w:rPr>
          <w:rFonts w:ascii="Franklin Gothic Book" w:eastAsia="Times New Roman" w:hAnsi="Franklin Gothic Book" w:cs="Times New Roman"/>
          <w:color w:val="000000"/>
        </w:rPr>
        <w:t>solicitante</w:t>
      </w:r>
      <w:bookmarkStart w:id="0" w:name="_GoBack"/>
      <w:bookmarkEnd w:id="0"/>
      <w:proofErr w:type="spellEnd"/>
    </w:p>
    <w:sectPr w:rsidR="00687CFB" w:rsidRPr="00462DD7" w:rsidSect="00E3286D">
      <w:headerReference w:type="default" r:id="rId10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93" w:rsidRDefault="00AC0D93" w:rsidP="001A0130">
      <w:pPr>
        <w:spacing w:after="0" w:line="240" w:lineRule="auto"/>
      </w:pPr>
      <w:r>
        <w:separator/>
      </w:r>
    </w:p>
  </w:endnote>
  <w:endnote w:type="continuationSeparator" w:id="0">
    <w:p w:rsidR="00AC0D93" w:rsidRDefault="00AC0D93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93" w:rsidRDefault="00AC0D93" w:rsidP="001A0130">
      <w:pPr>
        <w:spacing w:after="0" w:line="240" w:lineRule="auto"/>
      </w:pPr>
      <w:r>
        <w:separator/>
      </w:r>
    </w:p>
  </w:footnote>
  <w:footnote w:type="continuationSeparator" w:id="0">
    <w:p w:rsidR="00AC0D93" w:rsidRDefault="00AC0D93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30" w:rsidRDefault="000C06BF" w:rsidP="000C06BF">
    <w:pPr>
      <w:pStyle w:val="Header"/>
      <w:tabs>
        <w:tab w:val="clear" w:pos="4680"/>
        <w:tab w:val="clear" w:pos="9360"/>
        <w:tab w:val="left" w:pos="80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32F22" wp14:editId="5AC40869">
              <wp:simplePos x="0" y="0"/>
              <wp:positionH relativeFrom="column">
                <wp:posOffset>5124261</wp:posOffset>
              </wp:positionH>
              <wp:positionV relativeFrom="paragraph">
                <wp:posOffset>-164</wp:posOffset>
              </wp:positionV>
              <wp:extent cx="2012950" cy="821055"/>
              <wp:effectExtent l="8255" t="8890" r="762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6BF" w:rsidRDefault="000C06BF" w:rsidP="000C06B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</w:pPr>
                          <w:r w:rsidRPr="00AA2FF2"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  <w:t>345 W. Main Street, 2</w:t>
                          </w:r>
                          <w:r w:rsidRPr="00AA2FF2"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  <w:vertAlign w:val="superscript"/>
                            </w:rPr>
                            <w:t>nd</w:t>
                          </w:r>
                          <w:r w:rsidRPr="00AA2FF2"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  <w:t xml:space="preserve"> Floor</w:t>
                          </w:r>
                        </w:p>
                        <w:p w:rsidR="000C06BF" w:rsidRPr="00AA2FF2" w:rsidRDefault="000C06BF" w:rsidP="000C06B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</w:pPr>
                          <w:r w:rsidRPr="00AA2FF2"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  <w:t>Chehalis, WA 98532</w:t>
                          </w:r>
                        </w:p>
                        <w:p w:rsidR="000C06BF" w:rsidRPr="00AA2FF2" w:rsidRDefault="000C06BF" w:rsidP="000C06B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</w:pPr>
                          <w:r w:rsidRPr="00AA2FF2"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  <w:t>Phone: (360) 740-1240</w:t>
                          </w:r>
                        </w:p>
                        <w:p w:rsidR="000C06BF" w:rsidRPr="00AA2FF2" w:rsidRDefault="000C06BF" w:rsidP="000C06B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</w:pPr>
                          <w:r w:rsidRPr="00AA2FF2"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  <w:t>Fax: (360) 740-1497</w:t>
                          </w:r>
                        </w:p>
                        <w:p w:rsidR="000C06BF" w:rsidRPr="00AA2FF2" w:rsidRDefault="000C06BF" w:rsidP="000C06B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</w:pPr>
                          <w:r w:rsidRPr="00AA2FF2">
                            <w:rPr>
                              <w:rFonts w:ascii="Century Schoolbook" w:hAnsi="Century Schoolbook" w:cs="Aharoni"/>
                              <w:sz w:val="19"/>
                              <w:szCs w:val="19"/>
                            </w:rPr>
                            <w:t>TDD: (360) 740-1480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32F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5pt;margin-top:0;width:158.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" strokecolor="white">
              <v:textbox>
                <w:txbxContent>
                  <w:p w:rsidR="000C06BF" w:rsidRDefault="000C06BF" w:rsidP="000C06BF">
                    <w:pPr>
                      <w:spacing w:line="240" w:lineRule="auto"/>
                      <w:contextualSpacing/>
                      <w:jc w:val="right"/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</w:pPr>
                    <w:r w:rsidRPr="00AA2FF2"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  <w:t>345 W. Main Street, 2</w:t>
                    </w:r>
                    <w:r w:rsidRPr="00AA2FF2">
                      <w:rPr>
                        <w:rFonts w:ascii="Century Schoolbook" w:hAnsi="Century Schoolbook" w:cs="Aharoni"/>
                        <w:sz w:val="19"/>
                        <w:szCs w:val="19"/>
                        <w:vertAlign w:val="superscript"/>
                      </w:rPr>
                      <w:t>nd</w:t>
                    </w:r>
                    <w:r w:rsidRPr="00AA2FF2"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  <w:t xml:space="preserve"> Floor</w:t>
                    </w:r>
                  </w:p>
                  <w:p w:rsidR="000C06BF" w:rsidRPr="00AA2FF2" w:rsidRDefault="000C06BF" w:rsidP="000C06BF">
                    <w:pPr>
                      <w:spacing w:line="240" w:lineRule="auto"/>
                      <w:contextualSpacing/>
                      <w:jc w:val="right"/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</w:pPr>
                    <w:r w:rsidRPr="00AA2FF2"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  <w:t>Chehalis, WA 98532</w:t>
                    </w:r>
                  </w:p>
                  <w:p w:rsidR="000C06BF" w:rsidRPr="00AA2FF2" w:rsidRDefault="000C06BF" w:rsidP="000C06BF">
                    <w:pPr>
                      <w:spacing w:line="240" w:lineRule="auto"/>
                      <w:contextualSpacing/>
                      <w:jc w:val="right"/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</w:pPr>
                    <w:r w:rsidRPr="00AA2FF2"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  <w:t>Phone: (360) 740-1240</w:t>
                    </w:r>
                  </w:p>
                  <w:p w:rsidR="000C06BF" w:rsidRPr="00AA2FF2" w:rsidRDefault="000C06BF" w:rsidP="000C06BF">
                    <w:pPr>
                      <w:spacing w:line="240" w:lineRule="auto"/>
                      <w:contextualSpacing/>
                      <w:jc w:val="right"/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</w:pPr>
                    <w:r w:rsidRPr="00AA2FF2"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  <w:t>Fax: (360) 740-1497</w:t>
                    </w:r>
                  </w:p>
                  <w:p w:rsidR="000C06BF" w:rsidRPr="00AA2FF2" w:rsidRDefault="000C06BF" w:rsidP="000C06BF">
                    <w:pPr>
                      <w:spacing w:line="240" w:lineRule="auto"/>
                      <w:contextualSpacing/>
                      <w:jc w:val="right"/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</w:pPr>
                    <w:r w:rsidRPr="00AA2FF2">
                      <w:rPr>
                        <w:rFonts w:ascii="Century Schoolbook" w:hAnsi="Century Schoolbook" w:cs="Aharoni"/>
                        <w:sz w:val="19"/>
                        <w:szCs w:val="19"/>
                      </w:rPr>
                      <w:t>TDD: (360) 740-1480</w:t>
                    </w:r>
                  </w:p>
                </w:txbxContent>
              </v:textbox>
            </v:shape>
          </w:pict>
        </mc:Fallback>
      </mc:AlternateContent>
    </w:r>
    <w:r w:rsidR="00E737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B3C2C" wp14:editId="06703BF4">
              <wp:simplePos x="0" y="0"/>
              <wp:positionH relativeFrom="column">
                <wp:posOffset>1747319</wp:posOffset>
              </wp:positionH>
              <wp:positionV relativeFrom="paragraph">
                <wp:posOffset>15844</wp:posOffset>
              </wp:positionV>
              <wp:extent cx="3175000" cy="783124"/>
              <wp:effectExtent l="0" t="0" r="25400" b="17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7831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37EF" w:rsidRPr="00111D20" w:rsidRDefault="00E737EF" w:rsidP="00E737EF">
                          <w:pPr>
                            <w:jc w:val="center"/>
                            <w:rPr>
                              <w:rFonts w:ascii="Century Schoolbook" w:hAnsi="Century Schoolbook" w:cs="Arial"/>
                              <w:sz w:val="36"/>
                              <w:szCs w:val="36"/>
                            </w:rPr>
                          </w:pPr>
                          <w:r w:rsidRPr="00111D20">
                            <w:rPr>
                              <w:rFonts w:ascii="Century Schoolbook" w:hAnsi="Century Schoolbook" w:cs="Arial"/>
                              <w:sz w:val="36"/>
                              <w:szCs w:val="36"/>
                            </w:rPr>
                            <w:t xml:space="preserve">Lewis County Prosecuting </w:t>
                          </w:r>
                        </w:p>
                        <w:p w:rsidR="00E737EF" w:rsidRPr="00111D20" w:rsidRDefault="00E737EF" w:rsidP="00E737EF">
                          <w:pPr>
                            <w:jc w:val="center"/>
                            <w:rPr>
                              <w:rFonts w:ascii="Century Schoolbook" w:hAnsi="Century Schoolbook" w:cs="Arial"/>
                              <w:sz w:val="36"/>
                              <w:szCs w:val="36"/>
                            </w:rPr>
                          </w:pPr>
                          <w:r w:rsidRPr="00111D20">
                            <w:rPr>
                              <w:rFonts w:ascii="Century Schoolbook" w:hAnsi="Century Schoolbook" w:cs="Arial"/>
                              <w:sz w:val="36"/>
                              <w:szCs w:val="36"/>
                            </w:rPr>
                            <w:t>Attorney’s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EB3C2C" id="Text Box 3" o:spid="_x0000_s1027" type="#_x0000_t202" style="position:absolute;margin-left:137.6pt;margin-top:1.25pt;width:250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s/KAIAAFc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" strokecolor="white">
              <v:textbox>
                <w:txbxContent>
                  <w:p w:rsidR="00E737EF" w:rsidRPr="00111D20" w:rsidRDefault="00E737EF" w:rsidP="00E737EF">
                    <w:pPr>
                      <w:jc w:val="center"/>
                      <w:rPr>
                        <w:rFonts w:ascii="Century Schoolbook" w:hAnsi="Century Schoolbook" w:cs="Arial"/>
                        <w:sz w:val="36"/>
                        <w:szCs w:val="36"/>
                      </w:rPr>
                    </w:pPr>
                    <w:r w:rsidRPr="00111D20">
                      <w:rPr>
                        <w:rFonts w:ascii="Century Schoolbook" w:hAnsi="Century Schoolbook" w:cs="Arial"/>
                        <w:sz w:val="36"/>
                        <w:szCs w:val="36"/>
                      </w:rPr>
                      <w:t xml:space="preserve">Lewis County Prosecuting </w:t>
                    </w:r>
                  </w:p>
                  <w:p w:rsidR="00E737EF" w:rsidRPr="00111D20" w:rsidRDefault="00E737EF" w:rsidP="00E737EF">
                    <w:pPr>
                      <w:jc w:val="center"/>
                      <w:rPr>
                        <w:rFonts w:ascii="Century Schoolbook" w:hAnsi="Century Schoolbook" w:cs="Arial"/>
                        <w:sz w:val="36"/>
                        <w:szCs w:val="36"/>
                      </w:rPr>
                    </w:pPr>
                    <w:r w:rsidRPr="00111D20">
                      <w:rPr>
                        <w:rFonts w:ascii="Century Schoolbook" w:hAnsi="Century Schoolbook" w:cs="Arial"/>
                        <w:sz w:val="36"/>
                        <w:szCs w:val="36"/>
                      </w:rPr>
                      <w:t>Attorney’s Office</w:t>
                    </w:r>
                  </w:p>
                </w:txbxContent>
              </v:textbox>
            </v:shape>
          </w:pict>
        </mc:Fallback>
      </mc:AlternateContent>
    </w:r>
    <w:r w:rsidR="00E737EF">
      <w:rPr>
        <w:noProof/>
      </w:rPr>
      <w:drawing>
        <wp:inline distT="0" distB="0" distL="0" distR="0">
          <wp:extent cx="923453" cy="881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027" cy="897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Ra1ABTvnOgsAAAA"/>
  </w:docVars>
  <w:rsids>
    <w:rsidRoot w:val="00E737EF"/>
    <w:rsid w:val="000848F0"/>
    <w:rsid w:val="000A4DAD"/>
    <w:rsid w:val="000C06BF"/>
    <w:rsid w:val="000D25CF"/>
    <w:rsid w:val="00122458"/>
    <w:rsid w:val="00190BCA"/>
    <w:rsid w:val="001A0130"/>
    <w:rsid w:val="001B3DB4"/>
    <w:rsid w:val="001F1686"/>
    <w:rsid w:val="002209BB"/>
    <w:rsid w:val="00232876"/>
    <w:rsid w:val="00267116"/>
    <w:rsid w:val="00291D11"/>
    <w:rsid w:val="002F58E0"/>
    <w:rsid w:val="003301CC"/>
    <w:rsid w:val="00355DEE"/>
    <w:rsid w:val="00360180"/>
    <w:rsid w:val="003966EC"/>
    <w:rsid w:val="003B49EC"/>
    <w:rsid w:val="003D55FB"/>
    <w:rsid w:val="00402433"/>
    <w:rsid w:val="00462DD7"/>
    <w:rsid w:val="004B37F0"/>
    <w:rsid w:val="004B47A9"/>
    <w:rsid w:val="004F0368"/>
    <w:rsid w:val="005A20B8"/>
    <w:rsid w:val="005E6FA8"/>
    <w:rsid w:val="006662D2"/>
    <w:rsid w:val="00687CFB"/>
    <w:rsid w:val="00696B6E"/>
    <w:rsid w:val="006A5F0E"/>
    <w:rsid w:val="006C28FD"/>
    <w:rsid w:val="007367E3"/>
    <w:rsid w:val="007718C6"/>
    <w:rsid w:val="008045C5"/>
    <w:rsid w:val="00804B43"/>
    <w:rsid w:val="00835F7E"/>
    <w:rsid w:val="00862779"/>
    <w:rsid w:val="00866BB6"/>
    <w:rsid w:val="00872D54"/>
    <w:rsid w:val="0095511B"/>
    <w:rsid w:val="00991DDD"/>
    <w:rsid w:val="009E58B8"/>
    <w:rsid w:val="009E70CA"/>
    <w:rsid w:val="00AC0D93"/>
    <w:rsid w:val="00B4472C"/>
    <w:rsid w:val="00B45C7B"/>
    <w:rsid w:val="00BA66C3"/>
    <w:rsid w:val="00BF0577"/>
    <w:rsid w:val="00CB16D2"/>
    <w:rsid w:val="00CD05DC"/>
    <w:rsid w:val="00CD5B0D"/>
    <w:rsid w:val="00CF3E3A"/>
    <w:rsid w:val="00D24E94"/>
    <w:rsid w:val="00DB3723"/>
    <w:rsid w:val="00DC1831"/>
    <w:rsid w:val="00DE13D9"/>
    <w:rsid w:val="00E3286D"/>
    <w:rsid w:val="00E413DD"/>
    <w:rsid w:val="00E737EF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meyer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2021-03-19T14:36:00Z</dcterms:created>
  <dcterms:modified xsi:type="dcterms:W3CDTF">2021-03-19T14:36:00Z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