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86D" w:rsidRPr="00FA3EB3" w:rsidRDefault="000C06BF" w:rsidP="00FD35A6">
      <w:pPr>
        <w:pStyle w:val="Heading1"/>
      </w:pPr>
      <w:r>
        <w:t>Introduction</w:t>
      </w:r>
    </w:p>
    <w:p w:rsidR="003301CC" w:rsidRDefault="003301CC" w:rsidP="00CF3E3A">
      <w:pPr>
        <w:spacing w:after="0" w:line="240" w:lineRule="auto"/>
        <w:contextualSpacing/>
        <w:jc w:val="both"/>
      </w:pPr>
    </w:p>
    <w:p w:rsidR="00FD35A6" w:rsidRDefault="000C06BF" w:rsidP="00862779">
      <w:pPr>
        <w:jc w:val="both"/>
      </w:pPr>
      <w:r>
        <w:t xml:space="preserve">On February 25, 2021, the Washington State Supreme Court decided </w:t>
      </w:r>
      <w:r>
        <w:rPr>
          <w:i/>
        </w:rPr>
        <w:t>State v. Blake</w:t>
      </w:r>
      <w:r>
        <w:t>, No. 968373-0. In that de</w:t>
      </w:r>
      <w:r w:rsidR="00862779">
        <w:t>cision, the Court determined RCW 69.50.4013(1) violated the Constitutions of the United States and the State of Washington.</w:t>
      </w:r>
      <w:r w:rsidR="00CF3E3A">
        <w:t xml:space="preserve"> </w:t>
      </w:r>
      <w:r w:rsidR="00B45C7B">
        <w:t>In addition</w:t>
      </w:r>
      <w:r w:rsidR="00862779">
        <w:t>, when the analysis is applied to other criminal possessory charges, such an analysis would require the same result.</w:t>
      </w:r>
      <w:bookmarkStart w:id="0" w:name="_GoBack"/>
      <w:bookmarkEnd w:id="0"/>
    </w:p>
    <w:p w:rsidR="00360180" w:rsidRPr="00360180" w:rsidRDefault="00360180" w:rsidP="00862779">
      <w:pPr>
        <w:jc w:val="both"/>
      </w:pPr>
      <w:r>
        <w:t xml:space="preserve">This decision </w:t>
      </w:r>
      <w:r>
        <w:rPr>
          <w:b/>
          <w:i/>
        </w:rPr>
        <w:t>does not</w:t>
      </w:r>
      <w:r>
        <w:rPr>
          <w:b/>
        </w:rPr>
        <w:t xml:space="preserve"> </w:t>
      </w:r>
      <w:r>
        <w:t xml:space="preserve">impact drug offenses </w:t>
      </w:r>
      <w:r w:rsidR="00B45C7B">
        <w:t xml:space="preserve">beyond simple possession </w:t>
      </w:r>
      <w:r>
        <w:t>(e.</w:t>
      </w:r>
      <w:r w:rsidR="00B45C7B">
        <w:t>g.,</w:t>
      </w:r>
      <w:r>
        <w:t xml:space="preserve"> Possession with Intent to </w:t>
      </w:r>
      <w:proofErr w:type="gramStart"/>
      <w:r>
        <w:t>Deliver</w:t>
      </w:r>
      <w:proofErr w:type="gramEnd"/>
      <w:r>
        <w:t xml:space="preserve">). In addition, if the conviction was the result of plea negotiations, the </w:t>
      </w:r>
      <w:r>
        <w:rPr>
          <w:b/>
          <w:i/>
        </w:rPr>
        <w:t>original charges may be reinstated and prosecuted</w:t>
      </w:r>
      <w:r>
        <w:rPr>
          <w:i/>
        </w:rPr>
        <w:t xml:space="preserve">. </w:t>
      </w:r>
      <w:r>
        <w:t xml:space="preserve">Such a result may be unwanted and </w:t>
      </w:r>
      <w:r>
        <w:rPr>
          <w:i/>
        </w:rPr>
        <w:t>may</w:t>
      </w:r>
      <w:r>
        <w:t xml:space="preserve"> result in a conviction for a different and/or more serious crime and additional time in custody.</w:t>
      </w:r>
    </w:p>
    <w:p w:rsidR="00862779" w:rsidRDefault="00862779" w:rsidP="00862779">
      <w:pPr>
        <w:jc w:val="both"/>
      </w:pPr>
      <w:r w:rsidRPr="00991DDD">
        <w:t>If</w:t>
      </w:r>
      <w:r>
        <w:t xml:space="preserve"> you have been convicted of a possessory drug offense the conviction(s) may </w:t>
      </w:r>
      <w:r w:rsidRPr="00991DDD">
        <w:rPr>
          <w:i/>
        </w:rPr>
        <w:t>potentially</w:t>
      </w:r>
      <w:r>
        <w:t xml:space="preserve"> be vacated. In addition, if </w:t>
      </w:r>
      <w:r w:rsidR="00991DDD">
        <w:t xml:space="preserve">you have </w:t>
      </w:r>
      <w:r>
        <w:t>subsequent criminal history, those convictions and/or sentences may be impacted as well. If you have criminal history</w:t>
      </w:r>
      <w:r w:rsidR="00B45C7B">
        <w:t xml:space="preserve"> in Lewis County</w:t>
      </w:r>
      <w:r w:rsidR="00991DDD">
        <w:t xml:space="preserve"> </w:t>
      </w:r>
      <w:r w:rsidR="00B45C7B">
        <w:t>(</w:t>
      </w:r>
      <w:r w:rsidR="00991DDD">
        <w:t>either a conviction for a possessory drug offense or a subsequent conviction</w:t>
      </w:r>
      <w:r w:rsidR="00B45C7B">
        <w:t>)</w:t>
      </w:r>
      <w:r>
        <w:t xml:space="preserve"> and would like </w:t>
      </w:r>
      <w:r w:rsidR="00D24E94">
        <w:t>it</w:t>
      </w:r>
      <w:r>
        <w:t xml:space="preserve"> reviewed by this Office</w:t>
      </w:r>
      <w:r w:rsidR="003301CC">
        <w:t xml:space="preserve"> in an expedited manner</w:t>
      </w:r>
      <w:r>
        <w:t>, please provide the information requested below</w:t>
      </w:r>
      <w:r w:rsidR="003301CC">
        <w:t>. Otherwise</w:t>
      </w:r>
      <w:r w:rsidR="001F1686">
        <w:t>, cases will be reviewed in order of conviction date and filing date beginning with the most recent cases.</w:t>
      </w:r>
    </w:p>
    <w:p w:rsidR="00FD35A6" w:rsidRDefault="00862779" w:rsidP="00CF3E3A">
      <w:pPr>
        <w:pStyle w:val="Heading1"/>
        <w:spacing w:before="0"/>
        <w:contextualSpacing/>
      </w:pPr>
      <w:r>
        <w:t>Personal Information</w:t>
      </w:r>
    </w:p>
    <w:p w:rsidR="001F1686" w:rsidRPr="001F1686" w:rsidRDefault="001F1686" w:rsidP="001F1686">
      <w:pPr>
        <w:contextualSpacing/>
      </w:pPr>
    </w:p>
    <w:tbl>
      <w:tblPr>
        <w:tblStyle w:val="TableGrid"/>
        <w:tblW w:w="0" w:type="auto"/>
        <w:tblLook w:val="04A0" w:firstRow="1" w:lastRow="0" w:firstColumn="1" w:lastColumn="0" w:noHBand="0" w:noVBand="1"/>
      </w:tblPr>
      <w:tblGrid>
        <w:gridCol w:w="4315"/>
        <w:gridCol w:w="6475"/>
      </w:tblGrid>
      <w:tr w:rsidR="00862779" w:rsidTr="00862779">
        <w:tc>
          <w:tcPr>
            <w:tcW w:w="4315" w:type="dxa"/>
          </w:tcPr>
          <w:p w:rsidR="00862779" w:rsidRPr="00862779" w:rsidRDefault="00862779" w:rsidP="00862779">
            <w:pPr>
              <w:rPr>
                <w:b/>
              </w:rPr>
            </w:pPr>
            <w:r>
              <w:rPr>
                <w:b/>
              </w:rPr>
              <w:t>Name (First, Middle, Last)</w:t>
            </w:r>
          </w:p>
        </w:tc>
        <w:tc>
          <w:tcPr>
            <w:tcW w:w="6475" w:type="dxa"/>
          </w:tcPr>
          <w:p w:rsidR="00862779" w:rsidRDefault="00862779" w:rsidP="00FD35A6"/>
        </w:tc>
      </w:tr>
      <w:tr w:rsidR="00862779" w:rsidTr="00862779">
        <w:tc>
          <w:tcPr>
            <w:tcW w:w="4315" w:type="dxa"/>
          </w:tcPr>
          <w:p w:rsidR="00862779" w:rsidRPr="00862779" w:rsidRDefault="00862779" w:rsidP="00FD35A6">
            <w:pPr>
              <w:rPr>
                <w:b/>
              </w:rPr>
            </w:pPr>
            <w:r>
              <w:rPr>
                <w:b/>
              </w:rPr>
              <w:t>Current Address (Street, City, State, Zip)</w:t>
            </w:r>
          </w:p>
        </w:tc>
        <w:tc>
          <w:tcPr>
            <w:tcW w:w="6475" w:type="dxa"/>
          </w:tcPr>
          <w:p w:rsidR="00862779" w:rsidRDefault="00862779" w:rsidP="00FD35A6"/>
        </w:tc>
      </w:tr>
      <w:tr w:rsidR="00862779" w:rsidTr="00862779">
        <w:tc>
          <w:tcPr>
            <w:tcW w:w="4315" w:type="dxa"/>
          </w:tcPr>
          <w:p w:rsidR="00862779" w:rsidRPr="00862779" w:rsidRDefault="00862779" w:rsidP="00862779">
            <w:pPr>
              <w:rPr>
                <w:b/>
              </w:rPr>
            </w:pPr>
            <w:r>
              <w:rPr>
                <w:b/>
              </w:rPr>
              <w:t>Date of Birth (Month/Day/Year)</w:t>
            </w:r>
          </w:p>
        </w:tc>
        <w:tc>
          <w:tcPr>
            <w:tcW w:w="6475" w:type="dxa"/>
          </w:tcPr>
          <w:p w:rsidR="00862779" w:rsidRDefault="00862779" w:rsidP="00FD35A6"/>
        </w:tc>
      </w:tr>
      <w:tr w:rsidR="00862779" w:rsidTr="00862779">
        <w:tc>
          <w:tcPr>
            <w:tcW w:w="4315" w:type="dxa"/>
          </w:tcPr>
          <w:p w:rsidR="00862779" w:rsidRPr="00862779" w:rsidRDefault="00862779" w:rsidP="00FD35A6">
            <w:pPr>
              <w:rPr>
                <w:b/>
              </w:rPr>
            </w:pPr>
            <w:r>
              <w:rPr>
                <w:b/>
              </w:rPr>
              <w:t>Other Names Used</w:t>
            </w:r>
          </w:p>
        </w:tc>
        <w:tc>
          <w:tcPr>
            <w:tcW w:w="6475" w:type="dxa"/>
          </w:tcPr>
          <w:p w:rsidR="00862779" w:rsidRDefault="00862779" w:rsidP="00FD35A6"/>
        </w:tc>
      </w:tr>
      <w:tr w:rsidR="00862779" w:rsidTr="00862779">
        <w:tc>
          <w:tcPr>
            <w:tcW w:w="4315" w:type="dxa"/>
          </w:tcPr>
          <w:p w:rsidR="00862779" w:rsidRPr="00862779" w:rsidRDefault="00862779" w:rsidP="00862779">
            <w:pPr>
              <w:rPr>
                <w:b/>
              </w:rPr>
            </w:pPr>
            <w:r>
              <w:rPr>
                <w:b/>
              </w:rPr>
              <w:t>Best Contact Number (Including Area Code)</w:t>
            </w:r>
          </w:p>
        </w:tc>
        <w:tc>
          <w:tcPr>
            <w:tcW w:w="6475" w:type="dxa"/>
          </w:tcPr>
          <w:p w:rsidR="00862779" w:rsidRDefault="00862779" w:rsidP="00862779"/>
        </w:tc>
      </w:tr>
      <w:tr w:rsidR="00862779" w:rsidTr="00862779">
        <w:tc>
          <w:tcPr>
            <w:tcW w:w="4315" w:type="dxa"/>
          </w:tcPr>
          <w:p w:rsidR="00862779" w:rsidRPr="00862779" w:rsidRDefault="00862779" w:rsidP="00862779">
            <w:pPr>
              <w:rPr>
                <w:b/>
              </w:rPr>
            </w:pPr>
            <w:r>
              <w:rPr>
                <w:b/>
              </w:rPr>
              <w:t>Case Number(s) Impacted (If Known)</w:t>
            </w:r>
          </w:p>
        </w:tc>
        <w:tc>
          <w:tcPr>
            <w:tcW w:w="6475" w:type="dxa"/>
          </w:tcPr>
          <w:p w:rsidR="00862779" w:rsidRDefault="00862779" w:rsidP="00862779"/>
        </w:tc>
      </w:tr>
    </w:tbl>
    <w:p w:rsidR="001F1686" w:rsidRPr="00FA3EB3" w:rsidRDefault="001F1686" w:rsidP="001F1686">
      <w:pPr>
        <w:pStyle w:val="Heading1"/>
      </w:pPr>
      <w:r>
        <w:t>Signature</w:t>
      </w:r>
    </w:p>
    <w:p w:rsidR="001F1686" w:rsidRDefault="001F1686" w:rsidP="00CF3E3A">
      <w:pPr>
        <w:spacing w:after="0" w:line="240" w:lineRule="auto"/>
        <w:contextualSpacing/>
        <w:jc w:val="both"/>
      </w:pPr>
    </w:p>
    <w:p w:rsidR="00991DDD" w:rsidRDefault="00862779" w:rsidP="00862779">
      <w:pPr>
        <w:jc w:val="both"/>
      </w:pPr>
      <w:r>
        <w:t xml:space="preserve">I understand that by submitting this form, </w:t>
      </w:r>
      <w:r w:rsidR="00BF0577">
        <w:t xml:space="preserve">I am indicating that I am not currently represented by counsel and am acting </w:t>
      </w:r>
      <w:r w:rsidR="00BF0577">
        <w:rPr>
          <w:i/>
        </w:rPr>
        <w:t xml:space="preserve">pro se </w:t>
      </w:r>
      <w:r w:rsidR="00BF0577">
        <w:t xml:space="preserve">(on my own). </w:t>
      </w:r>
      <w:r w:rsidR="00B45C7B">
        <w:t xml:space="preserve">In some circumstances, I could qualify for counsel (possibly at public expense) if I file court paperwork on my own, but I choose to use this form </w:t>
      </w:r>
      <w:r w:rsidR="00B45C7B" w:rsidRPr="00CF3E3A">
        <w:rPr>
          <w:i/>
        </w:rPr>
        <w:t>pro se</w:t>
      </w:r>
      <w:r w:rsidR="00B45C7B">
        <w:t xml:space="preserve"> to speed up the process. </w:t>
      </w:r>
      <w:r w:rsidR="00BF0577">
        <w:t xml:space="preserve">I understand </w:t>
      </w:r>
      <w:r>
        <w:t xml:space="preserve">the Lewis County Prosecutor’s Office will conduct a criminal background check to cover the State of Washington and other states. I understand the Lewis County Prosecutor’s Office does not represent me in this matter and is prohibited by law from providing legal advice regarding this, or any other, matter, criminal or civil. </w:t>
      </w:r>
    </w:p>
    <w:p w:rsidR="00991DDD" w:rsidRPr="00991DDD" w:rsidRDefault="00991DDD" w:rsidP="00991DDD">
      <w:pPr>
        <w:jc w:val="both"/>
      </w:pPr>
      <w:r>
        <w:t xml:space="preserve">If a non-felony possessory drug offense conviction is vacated, I understand such a result is not mandated under </w:t>
      </w:r>
      <w:r>
        <w:rPr>
          <w:i/>
        </w:rPr>
        <w:t>State v. Blake.</w:t>
      </w:r>
      <w:r>
        <w:t xml:space="preserve"> As a result, the collateral benefits resulting from the vacation of the conviction may differ from the relief available in other matters.</w:t>
      </w:r>
    </w:p>
    <w:p w:rsidR="00862779" w:rsidRDefault="00862779" w:rsidP="00862779">
      <w:pPr>
        <w:jc w:val="both"/>
      </w:pPr>
      <w:r>
        <w:t xml:space="preserve">I understand that I am not required to submit this form and can, if I choose, present </w:t>
      </w:r>
      <w:r w:rsidR="003301CC">
        <w:t xml:space="preserve">matters directly to the Court either through an attorney or </w:t>
      </w:r>
      <w:r w:rsidR="003301CC">
        <w:rPr>
          <w:i/>
        </w:rPr>
        <w:t>pro se</w:t>
      </w:r>
      <w:r w:rsidR="003301CC">
        <w:t xml:space="preserve"> (without an attorney). I further agree the Lewis County Prosecutor’s Office is providing this service as a courtesy </w:t>
      </w:r>
      <w:r w:rsidR="00B45C7B">
        <w:t xml:space="preserve">in the interests of justice </w:t>
      </w:r>
      <w:r w:rsidR="003301CC">
        <w:t>and may cease</w:t>
      </w:r>
      <w:r w:rsidR="00991DDD">
        <w:t xml:space="preserve"> to assist in </w:t>
      </w:r>
      <w:r w:rsidR="003301CC">
        <w:t>the process at any stage.</w:t>
      </w:r>
      <w:r w:rsidR="00BF0577">
        <w:t xml:space="preserve"> </w:t>
      </w:r>
    </w:p>
    <w:p w:rsidR="003301CC" w:rsidRDefault="003301CC" w:rsidP="00862779">
      <w:pPr>
        <w:jc w:val="both"/>
      </w:pPr>
      <w:r>
        <w:t xml:space="preserve">Dated this </w:t>
      </w:r>
      <w:r>
        <w:rPr>
          <w:u w:val="single"/>
        </w:rPr>
        <w:tab/>
      </w:r>
      <w:r>
        <w:t xml:space="preserve"> day of </w:t>
      </w:r>
      <w:r>
        <w:rPr>
          <w:u w:val="single"/>
        </w:rPr>
        <w:tab/>
      </w:r>
      <w:r>
        <w:rPr>
          <w:u w:val="single"/>
        </w:rPr>
        <w:tab/>
      </w:r>
      <w:r>
        <w:rPr>
          <w:u w:val="single"/>
        </w:rPr>
        <w:tab/>
      </w:r>
      <w:r>
        <w:rPr>
          <w:u w:val="single"/>
        </w:rPr>
        <w:tab/>
      </w:r>
      <w:r>
        <w:t>, 20</w:t>
      </w:r>
      <w:r>
        <w:rPr>
          <w:u w:val="single"/>
        </w:rPr>
        <w:tab/>
      </w:r>
      <w:r>
        <w:t>.</w:t>
      </w:r>
    </w:p>
    <w:p w:rsidR="003301CC" w:rsidRDefault="003301CC" w:rsidP="00CF3E3A">
      <w:pPr>
        <w:spacing w:after="0"/>
        <w:jc w:val="both"/>
      </w:pPr>
    </w:p>
    <w:p w:rsidR="003301CC" w:rsidRDefault="003301CC" w:rsidP="003301CC">
      <w:pPr>
        <w:spacing w:line="240" w:lineRule="auto"/>
        <w:contextualSpacing/>
        <w:jc w:val="both"/>
        <w:rPr>
          <w:u w:val="single"/>
        </w:rPr>
      </w:pPr>
      <w:r>
        <w:rPr>
          <w:u w:val="single"/>
        </w:rPr>
        <w:tab/>
      </w:r>
      <w:r>
        <w:rPr>
          <w:u w:val="single"/>
        </w:rPr>
        <w:tab/>
      </w:r>
      <w:r>
        <w:rPr>
          <w:u w:val="single"/>
        </w:rPr>
        <w:tab/>
      </w:r>
      <w:r>
        <w:rPr>
          <w:u w:val="single"/>
        </w:rPr>
        <w:tab/>
      </w:r>
      <w:r>
        <w:rPr>
          <w:u w:val="single"/>
        </w:rPr>
        <w:tab/>
      </w:r>
      <w:r>
        <w:rPr>
          <w:u w:val="single"/>
        </w:rPr>
        <w:tab/>
      </w:r>
    </w:p>
    <w:p w:rsidR="003301CC" w:rsidRDefault="003301CC" w:rsidP="003301CC">
      <w:pPr>
        <w:spacing w:line="240" w:lineRule="auto"/>
        <w:contextualSpacing/>
        <w:jc w:val="both"/>
      </w:pPr>
      <w:r>
        <w:t>Print Name:</w:t>
      </w:r>
      <w:r>
        <w:rPr>
          <w:u w:val="single"/>
        </w:rPr>
        <w:tab/>
      </w:r>
      <w:r>
        <w:rPr>
          <w:u w:val="single"/>
        </w:rPr>
        <w:tab/>
      </w:r>
      <w:r>
        <w:rPr>
          <w:u w:val="single"/>
        </w:rPr>
        <w:tab/>
      </w:r>
      <w:r>
        <w:rPr>
          <w:u w:val="single"/>
        </w:rPr>
        <w:tab/>
      </w:r>
      <w:r>
        <w:rPr>
          <w:u w:val="single"/>
        </w:rPr>
        <w:tab/>
      </w:r>
    </w:p>
    <w:p w:rsidR="00687CFB" w:rsidRPr="00FA3EB3" w:rsidRDefault="003301CC" w:rsidP="00BF0577">
      <w:pPr>
        <w:spacing w:line="240" w:lineRule="auto"/>
        <w:contextualSpacing/>
        <w:jc w:val="both"/>
      </w:pPr>
      <w:r>
        <w:t>Requesting Party</w:t>
      </w:r>
    </w:p>
    <w:sectPr w:rsidR="00687CFB" w:rsidRPr="00FA3EB3" w:rsidSect="00E3286D">
      <w:headerReference w:type="default" r:id="rId10"/>
      <w:pgSz w:w="12240" w:h="15840"/>
      <w:pgMar w:top="360" w:right="720" w:bottom="720" w:left="72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771" w:rsidRDefault="00DE7771" w:rsidP="001A0130">
      <w:pPr>
        <w:spacing w:after="0" w:line="240" w:lineRule="auto"/>
      </w:pPr>
      <w:r>
        <w:separator/>
      </w:r>
    </w:p>
  </w:endnote>
  <w:endnote w:type="continuationSeparator" w:id="0">
    <w:p w:rsidR="00DE7771" w:rsidRDefault="00DE7771" w:rsidP="001A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altName w:val="Tahoma"/>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Arial">
    <w:altName w:val="Verdan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771" w:rsidRDefault="00DE7771" w:rsidP="001A0130">
      <w:pPr>
        <w:spacing w:after="0" w:line="240" w:lineRule="auto"/>
      </w:pPr>
      <w:r>
        <w:separator/>
      </w:r>
    </w:p>
  </w:footnote>
  <w:footnote w:type="continuationSeparator" w:id="0">
    <w:p w:rsidR="00DE7771" w:rsidRDefault="00DE7771" w:rsidP="001A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30" w:rsidRDefault="000C06BF" w:rsidP="000C06BF">
    <w:pPr>
      <w:pStyle w:val="Header"/>
      <w:tabs>
        <w:tab w:val="clear" w:pos="4680"/>
        <w:tab w:val="clear" w:pos="9360"/>
        <w:tab w:val="left" w:pos="8034"/>
      </w:tabs>
    </w:pPr>
    <w:r>
      <w:rPr>
        <w:noProof/>
      </w:rPr>
      <mc:AlternateContent>
        <mc:Choice Requires="wps">
          <w:drawing>
            <wp:anchor distT="0" distB="0" distL="114300" distR="114300" simplePos="0" relativeHeight="251661312" behindDoc="0" locked="0" layoutInCell="1" allowOverlap="1" wp14:anchorId="62D32F22" wp14:editId="5AC40869">
              <wp:simplePos x="0" y="0"/>
              <wp:positionH relativeFrom="column">
                <wp:posOffset>5124261</wp:posOffset>
              </wp:positionH>
              <wp:positionV relativeFrom="paragraph">
                <wp:posOffset>-164</wp:posOffset>
              </wp:positionV>
              <wp:extent cx="2012950" cy="821055"/>
              <wp:effectExtent l="8255" t="8890" r="762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821055"/>
                      </a:xfrm>
                      <a:prstGeom prst="rect">
                        <a:avLst/>
                      </a:prstGeom>
                      <a:solidFill>
                        <a:srgbClr val="FFFFFF"/>
                      </a:solidFill>
                      <a:ln w="9525">
                        <a:solidFill>
                          <a:srgbClr val="FFFFFF"/>
                        </a:solidFill>
                        <a:miter lim="800000"/>
                        <a:headEnd/>
                        <a:tailEnd/>
                      </a:ln>
                    </wps:spPr>
                    <wps:txbx>
                      <w:txbxContent>
                        <w:p w:rsidR="000C06BF" w:rsidRDefault="000C06BF" w:rsidP="000C06BF">
                          <w:pPr>
                            <w:spacing w:line="240" w:lineRule="auto"/>
                            <w:contextualSpacing/>
                            <w:jc w:val="right"/>
                            <w:rPr>
                              <w:rFonts w:ascii="Century Schoolbook" w:hAnsi="Century Schoolbook" w:cs="Aharoni"/>
                              <w:sz w:val="19"/>
                              <w:szCs w:val="19"/>
                            </w:rPr>
                          </w:pPr>
                          <w:r w:rsidRPr="00AA2FF2">
                            <w:rPr>
                              <w:rFonts w:ascii="Century Schoolbook" w:hAnsi="Century Schoolbook" w:cs="Aharoni"/>
                              <w:sz w:val="19"/>
                              <w:szCs w:val="19"/>
                            </w:rPr>
                            <w:t>345 W. Main Street, 2</w:t>
                          </w:r>
                          <w:r w:rsidRPr="00AA2FF2">
                            <w:rPr>
                              <w:rFonts w:ascii="Century Schoolbook" w:hAnsi="Century Schoolbook" w:cs="Aharoni"/>
                              <w:sz w:val="19"/>
                              <w:szCs w:val="19"/>
                              <w:vertAlign w:val="superscript"/>
                            </w:rPr>
                            <w:t>nd</w:t>
                          </w:r>
                          <w:r w:rsidRPr="00AA2FF2">
                            <w:rPr>
                              <w:rFonts w:ascii="Century Schoolbook" w:hAnsi="Century Schoolbook" w:cs="Aharoni"/>
                              <w:sz w:val="19"/>
                              <w:szCs w:val="19"/>
                            </w:rPr>
                            <w:t xml:space="preserve"> Floor</w:t>
                          </w:r>
                        </w:p>
                        <w:p w:rsidR="000C06BF" w:rsidRPr="00AA2FF2" w:rsidRDefault="000C06BF" w:rsidP="000C06BF">
                          <w:pPr>
                            <w:spacing w:line="240" w:lineRule="auto"/>
                            <w:contextualSpacing/>
                            <w:jc w:val="right"/>
                            <w:rPr>
                              <w:rFonts w:ascii="Century Schoolbook" w:hAnsi="Century Schoolbook" w:cs="Aharoni"/>
                              <w:sz w:val="19"/>
                              <w:szCs w:val="19"/>
                            </w:rPr>
                          </w:pPr>
                          <w:r w:rsidRPr="00AA2FF2">
                            <w:rPr>
                              <w:rFonts w:ascii="Century Schoolbook" w:hAnsi="Century Schoolbook" w:cs="Aharoni"/>
                              <w:sz w:val="19"/>
                              <w:szCs w:val="19"/>
                            </w:rPr>
                            <w:t>Chehalis, WA 98532</w:t>
                          </w:r>
                        </w:p>
                        <w:p w:rsidR="000C06BF" w:rsidRPr="00AA2FF2" w:rsidRDefault="000C06BF" w:rsidP="000C06BF">
                          <w:pPr>
                            <w:spacing w:line="240" w:lineRule="auto"/>
                            <w:contextualSpacing/>
                            <w:jc w:val="right"/>
                            <w:rPr>
                              <w:rFonts w:ascii="Century Schoolbook" w:hAnsi="Century Schoolbook" w:cs="Aharoni"/>
                              <w:sz w:val="19"/>
                              <w:szCs w:val="19"/>
                            </w:rPr>
                          </w:pPr>
                          <w:r w:rsidRPr="00AA2FF2">
                            <w:rPr>
                              <w:rFonts w:ascii="Century Schoolbook" w:hAnsi="Century Schoolbook" w:cs="Aharoni"/>
                              <w:sz w:val="19"/>
                              <w:szCs w:val="19"/>
                            </w:rPr>
                            <w:t>Phone: (360) 740-1240</w:t>
                          </w:r>
                        </w:p>
                        <w:p w:rsidR="000C06BF" w:rsidRPr="00AA2FF2" w:rsidRDefault="000C06BF" w:rsidP="000C06BF">
                          <w:pPr>
                            <w:spacing w:line="240" w:lineRule="auto"/>
                            <w:contextualSpacing/>
                            <w:jc w:val="right"/>
                            <w:rPr>
                              <w:rFonts w:ascii="Century Schoolbook" w:hAnsi="Century Schoolbook" w:cs="Aharoni"/>
                              <w:sz w:val="19"/>
                              <w:szCs w:val="19"/>
                            </w:rPr>
                          </w:pPr>
                          <w:r w:rsidRPr="00AA2FF2">
                            <w:rPr>
                              <w:rFonts w:ascii="Century Schoolbook" w:hAnsi="Century Schoolbook" w:cs="Aharoni"/>
                              <w:sz w:val="19"/>
                              <w:szCs w:val="19"/>
                            </w:rPr>
                            <w:t>Fax: (360) 740-1497</w:t>
                          </w:r>
                        </w:p>
                        <w:p w:rsidR="000C06BF" w:rsidRPr="00AA2FF2" w:rsidRDefault="000C06BF" w:rsidP="000C06BF">
                          <w:pPr>
                            <w:spacing w:line="240" w:lineRule="auto"/>
                            <w:contextualSpacing/>
                            <w:jc w:val="right"/>
                            <w:rPr>
                              <w:rFonts w:ascii="Century Schoolbook" w:hAnsi="Century Schoolbook" w:cs="Aharoni"/>
                              <w:sz w:val="19"/>
                              <w:szCs w:val="19"/>
                            </w:rPr>
                          </w:pPr>
                          <w:r w:rsidRPr="00AA2FF2">
                            <w:rPr>
                              <w:rFonts w:ascii="Century Schoolbook" w:hAnsi="Century Schoolbook" w:cs="Aharoni"/>
                              <w:sz w:val="19"/>
                              <w:szCs w:val="19"/>
                            </w:rPr>
                            <w:t>TDD: (360) 740-1480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D32F22" id="_x0000_t202" coordsize="21600,21600" o:spt="202" path="m,l,21600r21600,l21600,xe">
              <v:stroke joinstyle="miter"/>
              <v:path gradientshapeok="t" o:connecttype="rect"/>
            </v:shapetype>
            <v:shape id="Text Box 2" o:spid="_x0000_s1026" type="#_x0000_t202" style="position:absolute;margin-left:403.5pt;margin-top:0;width:158.5pt;height:6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" strokecolor="white">
              <v:textbox>
                <w:txbxContent>
                  <w:p w:rsidR="000C06BF" w:rsidRDefault="000C06BF" w:rsidP="000C06BF">
                    <w:pPr>
                      <w:spacing w:line="240" w:lineRule="auto"/>
                      <w:contextualSpacing/>
                      <w:jc w:val="right"/>
                      <w:rPr>
                        <w:rFonts w:ascii="Century Schoolbook" w:hAnsi="Century Schoolbook" w:cs="Aharoni"/>
                        <w:sz w:val="19"/>
                        <w:szCs w:val="19"/>
                      </w:rPr>
                    </w:pPr>
                    <w:r w:rsidRPr="00AA2FF2">
                      <w:rPr>
                        <w:rFonts w:ascii="Century Schoolbook" w:hAnsi="Century Schoolbook" w:cs="Aharoni"/>
                        <w:sz w:val="19"/>
                        <w:szCs w:val="19"/>
                      </w:rPr>
                      <w:t>345 W. Main Street, 2</w:t>
                    </w:r>
                    <w:r w:rsidRPr="00AA2FF2">
                      <w:rPr>
                        <w:rFonts w:ascii="Century Schoolbook" w:hAnsi="Century Schoolbook" w:cs="Aharoni"/>
                        <w:sz w:val="19"/>
                        <w:szCs w:val="19"/>
                        <w:vertAlign w:val="superscript"/>
                      </w:rPr>
                      <w:t>nd</w:t>
                    </w:r>
                    <w:r w:rsidRPr="00AA2FF2">
                      <w:rPr>
                        <w:rFonts w:ascii="Century Schoolbook" w:hAnsi="Century Schoolbook" w:cs="Aharoni"/>
                        <w:sz w:val="19"/>
                        <w:szCs w:val="19"/>
                      </w:rPr>
                      <w:t xml:space="preserve"> Floor</w:t>
                    </w:r>
                  </w:p>
                  <w:p w:rsidR="000C06BF" w:rsidRPr="00AA2FF2" w:rsidRDefault="000C06BF" w:rsidP="000C06BF">
                    <w:pPr>
                      <w:spacing w:line="240" w:lineRule="auto"/>
                      <w:contextualSpacing/>
                      <w:jc w:val="right"/>
                      <w:rPr>
                        <w:rFonts w:ascii="Century Schoolbook" w:hAnsi="Century Schoolbook" w:cs="Aharoni"/>
                        <w:sz w:val="19"/>
                        <w:szCs w:val="19"/>
                      </w:rPr>
                    </w:pPr>
                    <w:r w:rsidRPr="00AA2FF2">
                      <w:rPr>
                        <w:rFonts w:ascii="Century Schoolbook" w:hAnsi="Century Schoolbook" w:cs="Aharoni"/>
                        <w:sz w:val="19"/>
                        <w:szCs w:val="19"/>
                      </w:rPr>
                      <w:t>Chehalis, WA 98532</w:t>
                    </w:r>
                  </w:p>
                  <w:p w:rsidR="000C06BF" w:rsidRPr="00AA2FF2" w:rsidRDefault="000C06BF" w:rsidP="000C06BF">
                    <w:pPr>
                      <w:spacing w:line="240" w:lineRule="auto"/>
                      <w:contextualSpacing/>
                      <w:jc w:val="right"/>
                      <w:rPr>
                        <w:rFonts w:ascii="Century Schoolbook" w:hAnsi="Century Schoolbook" w:cs="Aharoni"/>
                        <w:sz w:val="19"/>
                        <w:szCs w:val="19"/>
                      </w:rPr>
                    </w:pPr>
                    <w:r w:rsidRPr="00AA2FF2">
                      <w:rPr>
                        <w:rFonts w:ascii="Century Schoolbook" w:hAnsi="Century Schoolbook" w:cs="Aharoni"/>
                        <w:sz w:val="19"/>
                        <w:szCs w:val="19"/>
                      </w:rPr>
                      <w:t>Phone: (360) 740-1240</w:t>
                    </w:r>
                  </w:p>
                  <w:p w:rsidR="000C06BF" w:rsidRPr="00AA2FF2" w:rsidRDefault="000C06BF" w:rsidP="000C06BF">
                    <w:pPr>
                      <w:spacing w:line="240" w:lineRule="auto"/>
                      <w:contextualSpacing/>
                      <w:jc w:val="right"/>
                      <w:rPr>
                        <w:rFonts w:ascii="Century Schoolbook" w:hAnsi="Century Schoolbook" w:cs="Aharoni"/>
                        <w:sz w:val="19"/>
                        <w:szCs w:val="19"/>
                      </w:rPr>
                    </w:pPr>
                    <w:r w:rsidRPr="00AA2FF2">
                      <w:rPr>
                        <w:rFonts w:ascii="Century Schoolbook" w:hAnsi="Century Schoolbook" w:cs="Aharoni"/>
                        <w:sz w:val="19"/>
                        <w:szCs w:val="19"/>
                      </w:rPr>
                      <w:t>Fax: (360) 740-1497</w:t>
                    </w:r>
                  </w:p>
                  <w:p w:rsidR="000C06BF" w:rsidRPr="00AA2FF2" w:rsidRDefault="000C06BF" w:rsidP="000C06BF">
                    <w:pPr>
                      <w:spacing w:line="240" w:lineRule="auto"/>
                      <w:contextualSpacing/>
                      <w:jc w:val="right"/>
                      <w:rPr>
                        <w:rFonts w:ascii="Century Schoolbook" w:hAnsi="Century Schoolbook" w:cs="Aharoni"/>
                        <w:sz w:val="19"/>
                        <w:szCs w:val="19"/>
                      </w:rPr>
                    </w:pPr>
                    <w:r w:rsidRPr="00AA2FF2">
                      <w:rPr>
                        <w:rFonts w:ascii="Century Schoolbook" w:hAnsi="Century Schoolbook" w:cs="Aharoni"/>
                        <w:sz w:val="19"/>
                        <w:szCs w:val="19"/>
                      </w:rPr>
                      <w:t>TDD: (360) 740-1480</w:t>
                    </w:r>
                  </w:p>
                </w:txbxContent>
              </v:textbox>
            </v:shape>
          </w:pict>
        </mc:Fallback>
      </mc:AlternateContent>
    </w:r>
    <w:r w:rsidR="00E737EF">
      <w:rPr>
        <w:noProof/>
      </w:rPr>
      <mc:AlternateContent>
        <mc:Choice Requires="wps">
          <w:drawing>
            <wp:anchor distT="0" distB="0" distL="114300" distR="114300" simplePos="0" relativeHeight="251659264" behindDoc="0" locked="0" layoutInCell="1" allowOverlap="1" wp14:anchorId="27EB3C2C" wp14:editId="06703BF4">
              <wp:simplePos x="0" y="0"/>
              <wp:positionH relativeFrom="column">
                <wp:posOffset>1747319</wp:posOffset>
              </wp:positionH>
              <wp:positionV relativeFrom="paragraph">
                <wp:posOffset>15844</wp:posOffset>
              </wp:positionV>
              <wp:extent cx="3175000" cy="783124"/>
              <wp:effectExtent l="0" t="0" r="2540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83124"/>
                      </a:xfrm>
                      <a:prstGeom prst="rect">
                        <a:avLst/>
                      </a:prstGeom>
                      <a:solidFill>
                        <a:srgbClr val="FFFFFF"/>
                      </a:solidFill>
                      <a:ln w="9525">
                        <a:solidFill>
                          <a:srgbClr val="FFFFFF"/>
                        </a:solidFill>
                        <a:miter lim="800000"/>
                        <a:headEnd/>
                        <a:tailEnd/>
                      </a:ln>
                    </wps:spPr>
                    <wps:txbx>
                      <w:txbxContent>
                        <w:p w:rsidR="00E737EF" w:rsidRPr="00111D20" w:rsidRDefault="00E737EF" w:rsidP="00E737EF">
                          <w:pPr>
                            <w:jc w:val="center"/>
                            <w:rPr>
                              <w:rFonts w:ascii="Century Schoolbook" w:hAnsi="Century Schoolbook" w:cs="Arial"/>
                              <w:sz w:val="36"/>
                              <w:szCs w:val="36"/>
                            </w:rPr>
                          </w:pPr>
                          <w:r w:rsidRPr="00111D20">
                            <w:rPr>
                              <w:rFonts w:ascii="Century Schoolbook" w:hAnsi="Century Schoolbook" w:cs="Arial"/>
                              <w:sz w:val="36"/>
                              <w:szCs w:val="36"/>
                            </w:rPr>
                            <w:t xml:space="preserve">Lewis County Prosecuting </w:t>
                          </w:r>
                        </w:p>
                        <w:p w:rsidR="00E737EF" w:rsidRPr="00111D20" w:rsidRDefault="00E737EF" w:rsidP="00E737EF">
                          <w:pPr>
                            <w:jc w:val="center"/>
                            <w:rPr>
                              <w:rFonts w:ascii="Century Schoolbook" w:hAnsi="Century Schoolbook" w:cs="Arial"/>
                              <w:sz w:val="36"/>
                              <w:szCs w:val="36"/>
                            </w:rPr>
                          </w:pPr>
                          <w:r w:rsidRPr="00111D20">
                            <w:rPr>
                              <w:rFonts w:ascii="Century Schoolbook" w:hAnsi="Century Schoolbook" w:cs="Arial"/>
                              <w:sz w:val="36"/>
                              <w:szCs w:val="36"/>
                            </w:rPr>
                            <w:t>Attorney’s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B3C2C" id="Text Box 3" o:spid="_x0000_s1027" type="#_x0000_t202" style="position:absolute;margin-left:137.6pt;margin-top:1.25pt;width:250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" strokecolor="white">
              <v:textbox>
                <w:txbxContent>
                  <w:p w:rsidR="00E737EF" w:rsidRPr="00111D20" w:rsidRDefault="00E737EF" w:rsidP="00E737EF">
                    <w:pPr>
                      <w:jc w:val="center"/>
                      <w:rPr>
                        <w:rFonts w:ascii="Century Schoolbook" w:hAnsi="Century Schoolbook" w:cs="Arial"/>
                        <w:sz w:val="36"/>
                        <w:szCs w:val="36"/>
                      </w:rPr>
                    </w:pPr>
                    <w:r w:rsidRPr="00111D20">
                      <w:rPr>
                        <w:rFonts w:ascii="Century Schoolbook" w:hAnsi="Century Schoolbook" w:cs="Arial"/>
                        <w:sz w:val="36"/>
                        <w:szCs w:val="36"/>
                      </w:rPr>
                      <w:t xml:space="preserve">Lewis County Prosecuting </w:t>
                    </w:r>
                  </w:p>
                  <w:p w:rsidR="00E737EF" w:rsidRPr="00111D20" w:rsidRDefault="00E737EF" w:rsidP="00E737EF">
                    <w:pPr>
                      <w:jc w:val="center"/>
                      <w:rPr>
                        <w:rFonts w:ascii="Century Schoolbook" w:hAnsi="Century Schoolbook" w:cs="Arial"/>
                        <w:sz w:val="36"/>
                        <w:szCs w:val="36"/>
                      </w:rPr>
                    </w:pPr>
                    <w:r w:rsidRPr="00111D20">
                      <w:rPr>
                        <w:rFonts w:ascii="Century Schoolbook" w:hAnsi="Century Schoolbook" w:cs="Arial"/>
                        <w:sz w:val="36"/>
                        <w:szCs w:val="36"/>
                      </w:rPr>
                      <w:t>Attorney’s Office</w:t>
                    </w:r>
                  </w:p>
                </w:txbxContent>
              </v:textbox>
            </v:shape>
          </w:pict>
        </mc:Fallback>
      </mc:AlternateContent>
    </w:r>
    <w:r w:rsidR="00E737EF">
      <w:rPr>
        <w:noProof/>
      </w:rPr>
      <w:drawing>
        <wp:inline distT="0" distB="0" distL="0" distR="0">
          <wp:extent cx="923453" cy="881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940027" cy="897413"/>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797C6AFB"/>
    <w:multiLevelType w:val="hybridMultilevel"/>
    <w:tmpl w:val="26E6C440"/>
    <w:lvl w:ilvl="0" w:tplc="79120B62">
      <w:start w:val="1"/>
      <w:numFmt w:val="decimal"/>
      <w:pStyle w:val="ListNumber"/>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1MLAwMjIAUpYWRko6SsGpxcWZ+XkgBea1ANvzBG8sAAAA"/>
  </w:docVars>
  <w:rsids>
    <w:rsidRoot w:val="00E737EF"/>
    <w:rsid w:val="000848F0"/>
    <w:rsid w:val="000A4DAD"/>
    <w:rsid w:val="000C06BF"/>
    <w:rsid w:val="000D25CF"/>
    <w:rsid w:val="00122458"/>
    <w:rsid w:val="00190BCA"/>
    <w:rsid w:val="001A0130"/>
    <w:rsid w:val="001B3DB4"/>
    <w:rsid w:val="001F1686"/>
    <w:rsid w:val="00232876"/>
    <w:rsid w:val="00267116"/>
    <w:rsid w:val="002F58E0"/>
    <w:rsid w:val="003301CC"/>
    <w:rsid w:val="00355DEE"/>
    <w:rsid w:val="00360180"/>
    <w:rsid w:val="003B49EC"/>
    <w:rsid w:val="003D55FB"/>
    <w:rsid w:val="00402433"/>
    <w:rsid w:val="004B37F0"/>
    <w:rsid w:val="004B47A9"/>
    <w:rsid w:val="004F0368"/>
    <w:rsid w:val="005A20B8"/>
    <w:rsid w:val="005E6FA8"/>
    <w:rsid w:val="006662D2"/>
    <w:rsid w:val="00687CFB"/>
    <w:rsid w:val="00696B6E"/>
    <w:rsid w:val="006A5F0E"/>
    <w:rsid w:val="006C28FD"/>
    <w:rsid w:val="007367E3"/>
    <w:rsid w:val="007718C6"/>
    <w:rsid w:val="008045C5"/>
    <w:rsid w:val="00835F7E"/>
    <w:rsid w:val="00862779"/>
    <w:rsid w:val="00866BB6"/>
    <w:rsid w:val="00872D54"/>
    <w:rsid w:val="0095511B"/>
    <w:rsid w:val="00991DDD"/>
    <w:rsid w:val="009E58B8"/>
    <w:rsid w:val="009E70CA"/>
    <w:rsid w:val="00B45C7B"/>
    <w:rsid w:val="00BA66C3"/>
    <w:rsid w:val="00BF0577"/>
    <w:rsid w:val="00CB16D2"/>
    <w:rsid w:val="00CD05DC"/>
    <w:rsid w:val="00CD5B0D"/>
    <w:rsid w:val="00CF3E3A"/>
    <w:rsid w:val="00D24E94"/>
    <w:rsid w:val="00DB3723"/>
    <w:rsid w:val="00DC1831"/>
    <w:rsid w:val="00DE13D9"/>
    <w:rsid w:val="00DE7771"/>
    <w:rsid w:val="00E3286D"/>
    <w:rsid w:val="00E413DD"/>
    <w:rsid w:val="00E737EF"/>
    <w:rsid w:val="00F40180"/>
    <w:rsid w:val="00F53FDC"/>
    <w:rsid w:val="00FA3EB3"/>
    <w:rsid w:val="00FD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3CE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5A6"/>
  </w:style>
  <w:style w:type="paragraph" w:styleId="Heading1">
    <w:name w:val="heading 1"/>
    <w:basedOn w:val="Normal"/>
    <w:next w:val="Normal"/>
    <w:link w:val="Heading1Ch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0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6D2"/>
  </w:style>
  <w:style w:type="paragraph" w:styleId="Footer">
    <w:name w:val="footer"/>
    <w:basedOn w:val="Normal"/>
    <w:link w:val="FooterChar"/>
    <w:uiPriority w:val="99"/>
    <w:semiHidden/>
    <w:rsid w:val="001A01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16D2"/>
  </w:style>
  <w:style w:type="paragraph" w:styleId="NormalWeb">
    <w:name w:val="Normal (Web)"/>
    <w:basedOn w:val="Normal"/>
    <w:uiPriority w:val="99"/>
    <w:semiHidden/>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semiHidden/>
    <w:qFormat/>
    <w:rsid w:val="001A0130"/>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leChar">
    <w:name w:val="Title Char"/>
    <w:basedOn w:val="DefaultParagraphFont"/>
    <w:link w:val="Title"/>
    <w:uiPriority w:val="10"/>
    <w:rsid w:val="00E3286D"/>
    <w:rPr>
      <w:rFonts w:ascii="Constantia" w:eastAsia="Times New Roman" w:hAnsi="Constantia" w:cs="Times New Roman"/>
      <w:b/>
      <w:bCs/>
      <w:color w:val="FFFFFF"/>
      <w:sz w:val="60"/>
      <w:szCs w:val="60"/>
    </w:rPr>
  </w:style>
  <w:style w:type="character" w:styleId="PlaceholderText">
    <w:name w:val="Placeholder Text"/>
    <w:basedOn w:val="DefaultParagraphFont"/>
    <w:uiPriority w:val="99"/>
    <w:semiHidden/>
    <w:rsid w:val="00E3286D"/>
    <w:rPr>
      <w:color w:val="808080"/>
    </w:rPr>
  </w:style>
  <w:style w:type="paragraph" w:styleId="ListNumber">
    <w:name w:val="List Number"/>
    <w:basedOn w:val="Normal"/>
    <w:uiPriority w:val="99"/>
    <w:rsid w:val="004F0368"/>
    <w:pPr>
      <w:numPr>
        <w:numId w:val="1"/>
      </w:numPr>
    </w:pPr>
    <w:rPr>
      <w:sz w:val="18"/>
      <w:lang w:val="en-ZA"/>
    </w:rPr>
  </w:style>
  <w:style w:type="character" w:styleId="Emphasis">
    <w:name w:val="Emphasis"/>
    <w:basedOn w:val="DefaultParagraphFont"/>
    <w:uiPriority w:val="20"/>
    <w:qFormat/>
    <w:rsid w:val="00FA3EB3"/>
    <w:rPr>
      <w:rFonts w:asciiTheme="minorHAnsi" w:hAnsiTheme="minorHAnsi"/>
      <w:b w:val="0"/>
      <w:i w:val="0"/>
      <w:iCs/>
      <w:caps w:val="0"/>
      <w:smallCaps w:val="0"/>
    </w:rPr>
  </w:style>
  <w:style w:type="paragraph" w:customStyle="1" w:styleId="Field">
    <w:name w:val="Field"/>
    <w:basedOn w:val="Normal"/>
    <w:qFormat/>
    <w:rsid w:val="00232876"/>
    <w:pPr>
      <w:spacing w:after="0" w:line="216" w:lineRule="auto"/>
    </w:pPr>
    <w:rPr>
      <w:i/>
      <w:sz w:val="16"/>
    </w:rPr>
  </w:style>
  <w:style w:type="paragraph" w:styleId="Signature">
    <w:name w:val="Signature"/>
    <w:basedOn w:val="Normal"/>
    <w:link w:val="SignatureChar"/>
    <w:uiPriority w:val="99"/>
    <w:rsid w:val="00CB16D2"/>
    <w:pPr>
      <w:spacing w:after="0" w:line="240" w:lineRule="auto"/>
      <w:ind w:left="4320"/>
      <w:jc w:val="right"/>
    </w:pPr>
    <w:rPr>
      <w:sz w:val="18"/>
    </w:rPr>
  </w:style>
  <w:style w:type="character" w:customStyle="1" w:styleId="SignatureChar">
    <w:name w:val="Signature Char"/>
    <w:basedOn w:val="DefaultParagraphFont"/>
    <w:link w:val="Signature"/>
    <w:uiPriority w:val="99"/>
    <w:rsid w:val="00CB16D2"/>
    <w:rPr>
      <w:sz w:val="18"/>
    </w:rPr>
  </w:style>
  <w:style w:type="paragraph" w:styleId="NoSpacing">
    <w:name w:val="No Spacing"/>
    <w:uiPriority w:val="1"/>
    <w:qFormat/>
    <w:rsid w:val="00696B6E"/>
    <w:pPr>
      <w:spacing w:after="0" w:line="240" w:lineRule="auto"/>
    </w:pPr>
  </w:style>
  <w:style w:type="character" w:customStyle="1" w:styleId="Heading1Char">
    <w:name w:val="Heading 1 Char"/>
    <w:basedOn w:val="DefaultParagraphFont"/>
    <w:link w:val="Heading1"/>
    <w:uiPriority w:val="9"/>
    <w:rsid w:val="00F53FDC"/>
    <w:rPr>
      <w:rFonts w:asciiTheme="majorHAnsi" w:eastAsiaTheme="majorEastAsia" w:hAnsiTheme="majorHAnsi" w:cstheme="majorBidi"/>
      <w:b/>
      <w:color w:val="1F497D" w:themeColor="text2"/>
      <w:sz w:val="32"/>
      <w:szCs w:val="32"/>
    </w:rPr>
  </w:style>
  <w:style w:type="paragraph" w:customStyle="1" w:styleId="Labels">
    <w:name w:val="Labels"/>
    <w:basedOn w:val="Normal"/>
    <w:qFormat/>
    <w:rsid w:val="00FD35A6"/>
    <w:pPr>
      <w:spacing w:after="0"/>
    </w:pPr>
    <w:rPr>
      <w:sz w:val="18"/>
    </w:rPr>
  </w:style>
  <w:style w:type="table" w:customStyle="1" w:styleId="OfficeHours">
    <w:name w:val="Office Hours"/>
    <w:basedOn w:val="Table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paragraph" w:styleId="BalloonText">
    <w:name w:val="Balloon Text"/>
    <w:basedOn w:val="Normal"/>
    <w:link w:val="BalloonTextChar"/>
    <w:uiPriority w:val="99"/>
    <w:semiHidden/>
    <w:unhideWhenUsed/>
    <w:rsid w:val="00330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meyer\AppData\Roaming\Microsoft\Templates\Practice%20update%20form%20healthcare.dotx" TargetMode="External"/></Relationship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8FD774-1B5E-437E-BA97-7C2A38EA27E6}">
  <ds:schemaRefs>
    <ds:schemaRef ds:uri="http://schemas.microsoft.com/sharepoint/v3/contenttype/forms"/>
  </ds:schemaRefs>
</ds:datastoreItem>
</file>

<file path=customXml/itemProps2.xml><?xml version="1.0" encoding="utf-8"?>
<ds:datastoreItem xmlns:ds="http://schemas.openxmlformats.org/officeDocument/2006/customXml" ds:itemID="{6CCD373B-0576-4E44-A284-0B50CBA69FE3}">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BD0A489A-9285-41C3-9CE8-3D353681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Practice update form healthcare</Template>
  <TotalTime>0</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2021-03-17T20:47:00Z</dcterms:created>
  <dcterms:modified xsi:type="dcterms:W3CDTF">2021-03-17T20:47:00Z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