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63F" w14:textId="0EB98733" w:rsidR="00360B2D" w:rsidRDefault="00C77C76" w:rsidP="00C77C76">
      <w:pPr>
        <w:pStyle w:val="Title"/>
      </w:pPr>
      <w:r>
        <w:t>Aetna and MetLife FAQs 2026</w:t>
      </w:r>
    </w:p>
    <w:p w14:paraId="737CAE38" w14:textId="77777777" w:rsidR="00C77C76" w:rsidRDefault="00C77C76" w:rsidP="00F10DA5">
      <w:pPr>
        <w:spacing w:after="0" w:line="276" w:lineRule="auto"/>
      </w:pPr>
    </w:p>
    <w:p w14:paraId="2AB217AE" w14:textId="768B2F58" w:rsidR="00C77C76" w:rsidRDefault="00C77C76" w:rsidP="00F10DA5">
      <w:pPr>
        <w:spacing w:after="0" w:line="276" w:lineRule="auto"/>
      </w:pPr>
      <w:r w:rsidRPr="00F10DA5">
        <w:t xml:space="preserve">This list will be updated as new information is </w:t>
      </w:r>
      <w:r w:rsidR="00F10DA5" w:rsidRPr="00F10DA5">
        <w:t xml:space="preserve">obtained, and additional questions are answered. </w:t>
      </w:r>
    </w:p>
    <w:p w14:paraId="19920FCA" w14:textId="77777777" w:rsidR="00A44C12" w:rsidRPr="00F10DA5" w:rsidRDefault="00A44C12" w:rsidP="00F10DA5">
      <w:pPr>
        <w:spacing w:after="0" w:line="276" w:lineRule="auto"/>
      </w:pPr>
    </w:p>
    <w:p w14:paraId="1BA634DC" w14:textId="665051E2" w:rsidR="00C77C76" w:rsidRPr="00F10DA5" w:rsidRDefault="00C77C76" w:rsidP="00F10DA5">
      <w:pPr>
        <w:pStyle w:val="ListParagraph"/>
        <w:numPr>
          <w:ilvl w:val="0"/>
          <w:numId w:val="1"/>
        </w:numPr>
        <w:spacing w:after="0" w:line="276" w:lineRule="auto"/>
        <w:rPr>
          <w:b/>
          <w:bCs/>
        </w:rPr>
      </w:pPr>
      <w:r w:rsidRPr="00F10DA5">
        <w:rPr>
          <w:b/>
          <w:bCs/>
        </w:rPr>
        <w:t>What is an RX Formulary?</w:t>
      </w:r>
    </w:p>
    <w:p w14:paraId="7DD07972" w14:textId="50CF5B8E" w:rsidR="00C77C76" w:rsidRPr="00F10DA5" w:rsidRDefault="00C77C76" w:rsidP="00F10DA5">
      <w:pPr>
        <w:pStyle w:val="ListParagraph"/>
        <w:numPr>
          <w:ilvl w:val="0"/>
          <w:numId w:val="3"/>
        </w:numPr>
        <w:spacing w:after="0" w:line="276" w:lineRule="auto"/>
        <w:rPr>
          <w:i/>
          <w:iCs/>
        </w:rPr>
      </w:pPr>
      <w:r w:rsidRPr="00F10DA5">
        <w:rPr>
          <w:i/>
          <w:iCs/>
        </w:rPr>
        <w:t>A prescription formulary is a list of prescription drugs that a health plan has approved and will cover. These lists are created by committees of doctors and pharmacists who evaluate drugs based on clinical effectiveness, safety, and cost. Formularies often categorize drugs into different tiers, which affects your out-of-pocket costs, with generic drugs typically in the lowest tier and more expensive brand-name drugs in higher tiers.  </w:t>
      </w:r>
    </w:p>
    <w:p w14:paraId="7480A19D" w14:textId="171ACD5C" w:rsidR="00C77C76" w:rsidRPr="00F10DA5" w:rsidRDefault="00C77C76" w:rsidP="00F10DA5">
      <w:pPr>
        <w:pStyle w:val="ListParagraph"/>
        <w:numPr>
          <w:ilvl w:val="0"/>
          <w:numId w:val="1"/>
        </w:numPr>
        <w:spacing w:after="0" w:line="276" w:lineRule="auto"/>
        <w:rPr>
          <w:b/>
          <w:bCs/>
        </w:rPr>
      </w:pPr>
      <w:r w:rsidRPr="00F10DA5">
        <w:rPr>
          <w:b/>
          <w:bCs/>
        </w:rPr>
        <w:t>Can I add my Domestic Partner to my insurance?</w:t>
      </w:r>
    </w:p>
    <w:p w14:paraId="465D3EE7" w14:textId="1B32CDD1" w:rsidR="00C77C76" w:rsidRPr="00F10DA5" w:rsidRDefault="00C77C76" w:rsidP="00F10DA5">
      <w:pPr>
        <w:pStyle w:val="ListParagraph"/>
        <w:numPr>
          <w:ilvl w:val="1"/>
          <w:numId w:val="1"/>
        </w:numPr>
        <w:spacing w:after="0" w:line="276" w:lineRule="auto"/>
      </w:pPr>
      <w:r w:rsidRPr="00F10DA5">
        <w:rPr>
          <w:i/>
          <w:iCs/>
        </w:rPr>
        <w:t xml:space="preserve">Yes, however, they must be a STATE REGISTERED domestic partner. </w:t>
      </w:r>
    </w:p>
    <w:p w14:paraId="527E624E" w14:textId="3A382BD6" w:rsidR="00C77C76" w:rsidRPr="00F10DA5" w:rsidRDefault="00C77C76" w:rsidP="00F10DA5">
      <w:pPr>
        <w:pStyle w:val="ListParagraph"/>
        <w:numPr>
          <w:ilvl w:val="0"/>
          <w:numId w:val="1"/>
        </w:numPr>
        <w:spacing w:after="0" w:line="276" w:lineRule="auto"/>
        <w:rPr>
          <w:b/>
          <w:bCs/>
        </w:rPr>
      </w:pPr>
      <w:r w:rsidRPr="00F10DA5">
        <w:rPr>
          <w:b/>
          <w:bCs/>
        </w:rPr>
        <w:t>Can I cover only myself on medical</w:t>
      </w:r>
      <w:r w:rsidR="007A5404" w:rsidRPr="00F10DA5">
        <w:rPr>
          <w:b/>
          <w:bCs/>
        </w:rPr>
        <w:t xml:space="preserve"> a</w:t>
      </w:r>
      <w:r w:rsidRPr="00F10DA5">
        <w:rPr>
          <w:b/>
          <w:bCs/>
        </w:rPr>
        <w:t xml:space="preserve">nd </w:t>
      </w:r>
      <w:r w:rsidR="007A5404" w:rsidRPr="00F10DA5">
        <w:rPr>
          <w:b/>
          <w:bCs/>
        </w:rPr>
        <w:t xml:space="preserve">still </w:t>
      </w:r>
      <w:r w:rsidRPr="00F10DA5">
        <w:rPr>
          <w:b/>
          <w:bCs/>
        </w:rPr>
        <w:t xml:space="preserve">add my dependents to </w:t>
      </w:r>
      <w:r w:rsidR="007A5404" w:rsidRPr="00F10DA5">
        <w:rPr>
          <w:b/>
          <w:bCs/>
        </w:rPr>
        <w:t>dental and/or vision?</w:t>
      </w:r>
    </w:p>
    <w:p w14:paraId="50D25CDA" w14:textId="026D9A57" w:rsidR="00856F29" w:rsidRPr="00F10DA5" w:rsidRDefault="007A5404" w:rsidP="00F10DA5">
      <w:pPr>
        <w:pStyle w:val="ListParagraph"/>
        <w:numPr>
          <w:ilvl w:val="1"/>
          <w:numId w:val="1"/>
        </w:numPr>
        <w:spacing w:after="0" w:line="276" w:lineRule="auto"/>
        <w:rPr>
          <w:i/>
          <w:iCs/>
        </w:rPr>
      </w:pPr>
      <w:r w:rsidRPr="00F10DA5">
        <w:rPr>
          <w:i/>
          <w:iCs/>
        </w:rPr>
        <w:t xml:space="preserve">Yes, you can, at no additional cost to you. </w:t>
      </w:r>
    </w:p>
    <w:p w14:paraId="0034536B" w14:textId="1BED50BC" w:rsidR="00856F29" w:rsidRPr="00F10DA5" w:rsidRDefault="00856F29" w:rsidP="00F10DA5">
      <w:pPr>
        <w:pStyle w:val="ListParagraph"/>
        <w:numPr>
          <w:ilvl w:val="0"/>
          <w:numId w:val="1"/>
        </w:numPr>
        <w:spacing w:after="0" w:line="276" w:lineRule="auto"/>
        <w:rPr>
          <w:b/>
          <w:bCs/>
          <w:i/>
          <w:iCs/>
        </w:rPr>
      </w:pPr>
      <w:r w:rsidRPr="00F10DA5">
        <w:rPr>
          <w:b/>
          <w:bCs/>
        </w:rPr>
        <w:t>If I waive medical coverage, can I still add myself or my dependents under dental and vision, and what is the cost?</w:t>
      </w:r>
    </w:p>
    <w:p w14:paraId="5B5072CC" w14:textId="7425E8C0" w:rsidR="00856F29" w:rsidRPr="00F10DA5" w:rsidRDefault="00856F29" w:rsidP="00F10DA5">
      <w:pPr>
        <w:pStyle w:val="ListParagraph"/>
        <w:numPr>
          <w:ilvl w:val="1"/>
          <w:numId w:val="1"/>
        </w:numPr>
        <w:spacing w:after="0" w:line="276" w:lineRule="auto"/>
        <w:rPr>
          <w:i/>
          <w:iCs/>
        </w:rPr>
      </w:pPr>
      <w:r w:rsidRPr="00F10DA5">
        <w:rPr>
          <w:i/>
          <w:iCs/>
        </w:rPr>
        <w:t xml:space="preserve">Yes, you can waive medical and still cover yourself and/or your dependents at no additional cost to you. </w:t>
      </w:r>
    </w:p>
    <w:p w14:paraId="5410F335" w14:textId="72F4F1F7" w:rsidR="007A5404" w:rsidRPr="00F10DA5" w:rsidRDefault="007A5404" w:rsidP="00F10DA5">
      <w:pPr>
        <w:pStyle w:val="ListParagraph"/>
        <w:numPr>
          <w:ilvl w:val="0"/>
          <w:numId w:val="1"/>
        </w:numPr>
        <w:spacing w:after="0" w:line="276" w:lineRule="auto"/>
        <w:rPr>
          <w:b/>
          <w:bCs/>
        </w:rPr>
      </w:pPr>
      <w:r w:rsidRPr="00F10DA5">
        <w:rPr>
          <w:b/>
          <w:bCs/>
        </w:rPr>
        <w:t>How do I ensure I have my prescriptions for January?</w:t>
      </w:r>
    </w:p>
    <w:p w14:paraId="5BBFBAE7" w14:textId="2EFF75C4" w:rsidR="007A5404" w:rsidRPr="00F10DA5" w:rsidRDefault="007A5404" w:rsidP="00F10DA5">
      <w:pPr>
        <w:pStyle w:val="ListParagraph"/>
        <w:numPr>
          <w:ilvl w:val="1"/>
          <w:numId w:val="1"/>
        </w:numPr>
        <w:spacing w:after="0" w:line="276" w:lineRule="auto"/>
      </w:pPr>
      <w:r w:rsidRPr="00F10DA5">
        <w:rPr>
          <w:i/>
          <w:iCs/>
        </w:rPr>
        <w:t xml:space="preserve">We recommend that you request a 60 to 90-day supply to carry you through the first month of the year. </w:t>
      </w:r>
    </w:p>
    <w:p w14:paraId="1C5EB1F6" w14:textId="2B69BBD2" w:rsidR="007A5404" w:rsidRPr="00F10DA5" w:rsidRDefault="007A5404" w:rsidP="00F10DA5">
      <w:pPr>
        <w:pStyle w:val="ListParagraph"/>
        <w:numPr>
          <w:ilvl w:val="0"/>
          <w:numId w:val="1"/>
        </w:numPr>
        <w:spacing w:after="0" w:line="276" w:lineRule="auto"/>
        <w:rPr>
          <w:b/>
          <w:bCs/>
        </w:rPr>
      </w:pPr>
      <w:r w:rsidRPr="00F10DA5">
        <w:rPr>
          <w:b/>
          <w:bCs/>
        </w:rPr>
        <w:t>Why is my MetLife LTD rate not the same as it was when I enrolled?</w:t>
      </w:r>
    </w:p>
    <w:p w14:paraId="379E49D8" w14:textId="754C80E9" w:rsidR="007A5404" w:rsidRPr="00F10DA5" w:rsidRDefault="007A5404" w:rsidP="00F10DA5">
      <w:pPr>
        <w:pStyle w:val="ListParagraph"/>
        <w:numPr>
          <w:ilvl w:val="1"/>
          <w:numId w:val="1"/>
        </w:numPr>
        <w:spacing w:after="0" w:line="276" w:lineRule="auto"/>
      </w:pPr>
      <w:r w:rsidRPr="00F10DA5">
        <w:rPr>
          <w:i/>
          <w:iCs/>
        </w:rPr>
        <w:t xml:space="preserve">LTD rates are calculated based on your CURRENT salary. If you receive a COLA in January or a Step Increase throughout the year, you can expect a rate increase. </w:t>
      </w:r>
    </w:p>
    <w:p w14:paraId="298ED347" w14:textId="4E06AC53" w:rsidR="007A5404" w:rsidRPr="00F10DA5" w:rsidRDefault="00856F29" w:rsidP="00F10DA5">
      <w:pPr>
        <w:pStyle w:val="ListParagraph"/>
        <w:numPr>
          <w:ilvl w:val="0"/>
          <w:numId w:val="1"/>
        </w:numPr>
        <w:spacing w:after="0" w:line="276" w:lineRule="auto"/>
        <w:rPr>
          <w:b/>
          <w:bCs/>
        </w:rPr>
      </w:pPr>
      <w:r w:rsidRPr="00F10DA5">
        <w:rPr>
          <w:b/>
          <w:bCs/>
        </w:rPr>
        <w:t>If I already have an HSA with PEBB and want to have an HSA plan for next year, do I have to roll my current HSA onto my new plan?</w:t>
      </w:r>
    </w:p>
    <w:p w14:paraId="37A27C42" w14:textId="6E60B2D5" w:rsidR="00856F29" w:rsidRPr="00C6632A" w:rsidRDefault="00856F29" w:rsidP="00F10DA5">
      <w:pPr>
        <w:pStyle w:val="ListParagraph"/>
        <w:numPr>
          <w:ilvl w:val="1"/>
          <w:numId w:val="1"/>
        </w:numPr>
        <w:spacing w:after="0" w:line="276" w:lineRule="auto"/>
      </w:pPr>
      <w:r w:rsidRPr="00F10DA5">
        <w:rPr>
          <w:i/>
          <w:iCs/>
        </w:rPr>
        <w:t xml:space="preserve">It is your choice to either use up your current HSA contributions or roll them over onto your new card. Some things to </w:t>
      </w:r>
      <w:r w:rsidR="006B3A96" w:rsidRPr="00F10DA5">
        <w:rPr>
          <w:i/>
          <w:iCs/>
        </w:rPr>
        <w:t>consider</w:t>
      </w:r>
      <w:r w:rsidR="006B3A96">
        <w:rPr>
          <w:i/>
          <w:iCs/>
        </w:rPr>
        <w:t>;</w:t>
      </w:r>
      <w:r w:rsidRPr="00F10DA5">
        <w:rPr>
          <w:i/>
          <w:iCs/>
        </w:rPr>
        <w:t xml:space="preserve"> once PEBB coverage ends you will be paying an administrative fee of $2-$5 per month on your Health Equity (PEBB) HSA. </w:t>
      </w:r>
      <w:r w:rsidR="00F10DA5" w:rsidRPr="00F10DA5">
        <w:rPr>
          <w:i/>
          <w:iCs/>
        </w:rPr>
        <w:t xml:space="preserve">Also, you will not be able to contribute any more funds to your current HSA, all future contributions (both employee and employer) will go onto your new card. If you do elect to roll your current funds over onto your new card, you will </w:t>
      </w:r>
      <w:r w:rsidR="00F10DA5" w:rsidRPr="00F10DA5">
        <w:rPr>
          <w:i/>
          <w:iCs/>
        </w:rPr>
        <w:lastRenderedPageBreak/>
        <w:t>need to have your new card in hand before doing so. HR has posted information about this on the Open Enrollment page</w:t>
      </w:r>
      <w:r w:rsidR="00EA5BF2">
        <w:rPr>
          <w:i/>
          <w:iCs/>
        </w:rPr>
        <w:t xml:space="preserve"> and is available to assist</w:t>
      </w:r>
      <w:r w:rsidR="00F10DA5" w:rsidRPr="00F10DA5">
        <w:rPr>
          <w:i/>
          <w:iCs/>
        </w:rPr>
        <w:t xml:space="preserve">. </w:t>
      </w:r>
    </w:p>
    <w:p w14:paraId="4F1BE022" w14:textId="616BB245" w:rsidR="00C6632A" w:rsidRPr="004226A2" w:rsidRDefault="009D13D8" w:rsidP="00C6632A">
      <w:pPr>
        <w:pStyle w:val="ListParagraph"/>
        <w:numPr>
          <w:ilvl w:val="0"/>
          <w:numId w:val="1"/>
        </w:numPr>
        <w:spacing w:after="0" w:line="276" w:lineRule="auto"/>
        <w:rPr>
          <w:b/>
          <w:bCs/>
        </w:rPr>
      </w:pPr>
      <w:r w:rsidRPr="004226A2">
        <w:rPr>
          <w:b/>
          <w:bCs/>
        </w:rPr>
        <w:t>I tried to log into the Aetna website, but it doesn’t recognize me, did I do something incorrectly?</w:t>
      </w:r>
    </w:p>
    <w:p w14:paraId="53BF3253" w14:textId="27B66DEF" w:rsidR="009D13D8" w:rsidRPr="009D13D8" w:rsidRDefault="009D13D8" w:rsidP="009D13D8">
      <w:pPr>
        <w:pStyle w:val="ListParagraph"/>
        <w:numPr>
          <w:ilvl w:val="1"/>
          <w:numId w:val="1"/>
        </w:numPr>
        <w:spacing w:after="0" w:line="276" w:lineRule="auto"/>
      </w:pPr>
      <w:r>
        <w:rPr>
          <w:i/>
          <w:iCs/>
        </w:rPr>
        <w:t xml:space="preserve">You must wait until you receive your Member ID card from Aetna to create an account. </w:t>
      </w:r>
    </w:p>
    <w:p w14:paraId="64A223FB" w14:textId="3082A0CA" w:rsidR="009D13D8" w:rsidRPr="004226A2" w:rsidRDefault="001826D8" w:rsidP="009D13D8">
      <w:pPr>
        <w:pStyle w:val="ListParagraph"/>
        <w:numPr>
          <w:ilvl w:val="0"/>
          <w:numId w:val="1"/>
        </w:numPr>
        <w:spacing w:after="0" w:line="276" w:lineRule="auto"/>
        <w:rPr>
          <w:b/>
          <w:bCs/>
        </w:rPr>
      </w:pPr>
      <w:r w:rsidRPr="004226A2">
        <w:rPr>
          <w:b/>
          <w:bCs/>
        </w:rPr>
        <w:t xml:space="preserve">When can I access the online platform to enroll? </w:t>
      </w:r>
    </w:p>
    <w:p w14:paraId="66D3E95D" w14:textId="00BF6F4C" w:rsidR="00CF215F" w:rsidRDefault="001826D8" w:rsidP="00CF215F">
      <w:pPr>
        <w:pStyle w:val="ListParagraph"/>
        <w:numPr>
          <w:ilvl w:val="1"/>
          <w:numId w:val="1"/>
        </w:numPr>
        <w:spacing w:after="0" w:line="276" w:lineRule="auto"/>
        <w:rPr>
          <w:i/>
          <w:iCs/>
        </w:rPr>
      </w:pPr>
      <w:r w:rsidRPr="004226A2">
        <w:rPr>
          <w:i/>
          <w:iCs/>
        </w:rPr>
        <w:t xml:space="preserve">You will receive an autogenerated email once the Employee Navigator site is ready for you to access. </w:t>
      </w:r>
      <w:r w:rsidR="008511F5" w:rsidRPr="004226A2">
        <w:rPr>
          <w:i/>
          <w:iCs/>
        </w:rPr>
        <w:t>If you are concerned about timing, etc., feel free to complete the paper enrollment forms; they can be found online</w:t>
      </w:r>
      <w:r w:rsidR="004226A2" w:rsidRPr="004226A2">
        <w:rPr>
          <w:i/>
          <w:iCs/>
        </w:rPr>
        <w:t xml:space="preserve"> on the HR, Open Enrollment 2026 intranet page OR you can stop by the HR office for a guidebook and enrollment forms. </w:t>
      </w:r>
    </w:p>
    <w:p w14:paraId="3FEC3D27" w14:textId="45354AA2" w:rsidR="00CF215F" w:rsidRPr="00995482" w:rsidRDefault="00CF215F" w:rsidP="00CF215F">
      <w:pPr>
        <w:pStyle w:val="ListParagraph"/>
        <w:numPr>
          <w:ilvl w:val="0"/>
          <w:numId w:val="1"/>
        </w:numPr>
        <w:spacing w:after="0" w:line="276" w:lineRule="auto"/>
        <w:rPr>
          <w:b/>
          <w:bCs/>
          <w:i/>
          <w:iCs/>
        </w:rPr>
      </w:pPr>
      <w:r w:rsidRPr="00995482">
        <w:rPr>
          <w:b/>
          <w:bCs/>
        </w:rPr>
        <w:t>Because the online platform isn’t ready yet, will we be able to get an extension on enrollment?</w:t>
      </w:r>
    </w:p>
    <w:p w14:paraId="4D8CA13D" w14:textId="7ADDCDF5" w:rsidR="00995482" w:rsidRPr="00995482" w:rsidRDefault="00995482" w:rsidP="00995482">
      <w:pPr>
        <w:pStyle w:val="ListParagraph"/>
        <w:numPr>
          <w:ilvl w:val="1"/>
          <w:numId w:val="1"/>
        </w:numPr>
        <w:spacing w:after="0" w:line="276" w:lineRule="auto"/>
        <w:rPr>
          <w:i/>
          <w:iCs/>
        </w:rPr>
      </w:pPr>
      <w:r w:rsidRPr="00995482">
        <w:rPr>
          <w:i/>
          <w:iCs/>
        </w:rPr>
        <w:t xml:space="preserve">No, we won’t be offering an extension on open enrollment because there is nothing preventing employees from completing a paper form. Also, it takes 5-10 minutes to complete the online enrollment once it is up and running, and that doesn’t </w:t>
      </w:r>
      <w:r w:rsidR="00CD3353">
        <w:rPr>
          <w:i/>
          <w:iCs/>
        </w:rPr>
        <w:t>prevent employees from</w:t>
      </w:r>
      <w:r w:rsidRPr="00995482">
        <w:rPr>
          <w:i/>
          <w:iCs/>
        </w:rPr>
        <w:t xml:space="preserve"> deciding now on what</w:t>
      </w:r>
      <w:r w:rsidR="00CD3353">
        <w:rPr>
          <w:i/>
          <w:iCs/>
        </w:rPr>
        <w:t xml:space="preserve"> they</w:t>
      </w:r>
      <w:r w:rsidRPr="00995482">
        <w:rPr>
          <w:i/>
          <w:iCs/>
        </w:rPr>
        <w:t xml:space="preserve"> want for coverage. Employees can be reviewing materials now via the intranet open enrollment page </w:t>
      </w:r>
      <w:r w:rsidRPr="00995482">
        <w:rPr>
          <w:i/>
          <w:iCs/>
        </w:rPr>
        <w:t>or</w:t>
      </w:r>
      <w:r w:rsidRPr="00995482">
        <w:rPr>
          <w:i/>
          <w:iCs/>
        </w:rPr>
        <w:t xml:space="preserve"> they </w:t>
      </w:r>
      <w:r w:rsidR="00CD3353">
        <w:rPr>
          <w:i/>
          <w:iCs/>
        </w:rPr>
        <w:t>can grab a packet from HR</w:t>
      </w:r>
      <w:r w:rsidRPr="00995482">
        <w:rPr>
          <w:i/>
          <w:iCs/>
        </w:rPr>
        <w:t xml:space="preserve">. </w:t>
      </w:r>
    </w:p>
    <w:p w14:paraId="61B17161" w14:textId="2F271565" w:rsidR="00CF215F" w:rsidRPr="00CF215F" w:rsidRDefault="00995482" w:rsidP="00995482">
      <w:pPr>
        <w:pStyle w:val="ListParagraph"/>
        <w:numPr>
          <w:ilvl w:val="1"/>
          <w:numId w:val="1"/>
        </w:numPr>
        <w:spacing w:after="0" w:line="276" w:lineRule="auto"/>
        <w:rPr>
          <w:i/>
          <w:iCs/>
        </w:rPr>
      </w:pPr>
      <w:r w:rsidRPr="00995482">
        <w:rPr>
          <w:i/>
          <w:iCs/>
        </w:rPr>
        <w:t xml:space="preserve">Another reason, and quite frankly the biggest </w:t>
      </w:r>
      <w:r w:rsidRPr="00995482">
        <w:rPr>
          <w:i/>
          <w:iCs/>
        </w:rPr>
        <w:t>reason</w:t>
      </w:r>
      <w:r w:rsidRPr="00995482">
        <w:rPr>
          <w:i/>
          <w:iCs/>
        </w:rPr>
        <w:t xml:space="preserve"> why we won’t be offering an enrollment </w:t>
      </w:r>
      <w:r w:rsidRPr="00995482">
        <w:rPr>
          <w:i/>
          <w:iCs/>
        </w:rPr>
        <w:t>extension,</w:t>
      </w:r>
      <w:r w:rsidRPr="00995482">
        <w:rPr>
          <w:i/>
          <w:iCs/>
        </w:rPr>
        <w:t xml:space="preserve"> is because the Auditor’s office needs time to process all these new enrollments before year end and get everyone set up for future payments.</w:t>
      </w:r>
    </w:p>
    <w:p w14:paraId="49A63802" w14:textId="2E9F161C" w:rsidR="004226A2" w:rsidRPr="006B6573" w:rsidRDefault="00777879" w:rsidP="004226A2">
      <w:pPr>
        <w:pStyle w:val="ListParagraph"/>
        <w:numPr>
          <w:ilvl w:val="0"/>
          <w:numId w:val="1"/>
        </w:numPr>
        <w:spacing w:after="0" w:line="276" w:lineRule="auto"/>
        <w:rPr>
          <w:b/>
          <w:bCs/>
          <w:i/>
          <w:iCs/>
        </w:rPr>
      </w:pPr>
      <w:r w:rsidRPr="006B6573">
        <w:rPr>
          <w:b/>
          <w:bCs/>
        </w:rPr>
        <w:t xml:space="preserve">If I </w:t>
      </w:r>
      <w:r w:rsidR="009B25CB" w:rsidRPr="006B6573">
        <w:rPr>
          <w:b/>
          <w:bCs/>
        </w:rPr>
        <w:t>choose to enroll via paper forms, which forms do I need?</w:t>
      </w:r>
    </w:p>
    <w:p w14:paraId="0E08692A" w14:textId="63FC69B5" w:rsidR="00A44C12" w:rsidRDefault="009B25CB" w:rsidP="00EA5BF2">
      <w:pPr>
        <w:pStyle w:val="ListParagraph"/>
        <w:numPr>
          <w:ilvl w:val="1"/>
          <w:numId w:val="1"/>
        </w:numPr>
        <w:spacing w:after="0" w:line="276" w:lineRule="auto"/>
        <w:rPr>
          <w:i/>
          <w:iCs/>
        </w:rPr>
      </w:pPr>
      <w:r>
        <w:rPr>
          <w:i/>
          <w:iCs/>
        </w:rPr>
        <w:t xml:space="preserve">You will need the Aetna Medical and RX Benefits Election form as well as the MetLife Enrollment form. </w:t>
      </w:r>
    </w:p>
    <w:p w14:paraId="1DBF0BF0" w14:textId="7F6B7F6A" w:rsidR="000B6A3D" w:rsidRPr="006B3A96" w:rsidRDefault="006B3A96" w:rsidP="000B6A3D">
      <w:pPr>
        <w:pStyle w:val="ListParagraph"/>
        <w:numPr>
          <w:ilvl w:val="0"/>
          <w:numId w:val="1"/>
        </w:numPr>
        <w:spacing w:after="0" w:line="276" w:lineRule="auto"/>
        <w:rPr>
          <w:b/>
          <w:bCs/>
          <w:i/>
          <w:iCs/>
        </w:rPr>
      </w:pPr>
      <w:r w:rsidRPr="006B3A96">
        <w:rPr>
          <w:b/>
          <w:bCs/>
        </w:rPr>
        <w:t>Can I roll over my current MetLife policy to the new policy?</w:t>
      </w:r>
    </w:p>
    <w:p w14:paraId="679B2604" w14:textId="2915C6A0" w:rsidR="006B3A96" w:rsidRPr="000B6A3D" w:rsidRDefault="006B3A96" w:rsidP="006B3A96">
      <w:pPr>
        <w:pStyle w:val="ListParagraph"/>
        <w:numPr>
          <w:ilvl w:val="1"/>
          <w:numId w:val="1"/>
        </w:numPr>
        <w:spacing w:after="0" w:line="276" w:lineRule="auto"/>
        <w:rPr>
          <w:i/>
          <w:iCs/>
        </w:rPr>
      </w:pPr>
      <w:r>
        <w:rPr>
          <w:i/>
          <w:iCs/>
        </w:rPr>
        <w:t xml:space="preserve">We are still waiting for an answer from MetLife. They have been updating us, but there is nothing new to report currently. </w:t>
      </w:r>
    </w:p>
    <w:sectPr w:rsidR="006B3A96" w:rsidRPr="000B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3A7"/>
    <w:multiLevelType w:val="hybridMultilevel"/>
    <w:tmpl w:val="3008ECBC"/>
    <w:lvl w:ilvl="0" w:tplc="ABA42F70">
      <w:start w:val="1"/>
      <w:numFmt w:val="decimal"/>
      <w:lvlText w:val="%1."/>
      <w:lvlJc w:val="left"/>
      <w:pPr>
        <w:ind w:left="720" w:hanging="360"/>
      </w:pPr>
      <w:rPr>
        <w:rFonts w:hint="default"/>
        <w:i w:val="0"/>
        <w:i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F14E0"/>
    <w:multiLevelType w:val="hybridMultilevel"/>
    <w:tmpl w:val="26F026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7B239FD"/>
    <w:multiLevelType w:val="hybridMultilevel"/>
    <w:tmpl w:val="AFD88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1151417">
    <w:abstractNumId w:val="0"/>
  </w:num>
  <w:num w:numId="2" w16cid:durableId="1963876717">
    <w:abstractNumId w:val="1"/>
  </w:num>
  <w:num w:numId="3" w16cid:durableId="281346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76"/>
    <w:rsid w:val="000B6A3D"/>
    <w:rsid w:val="001826D8"/>
    <w:rsid w:val="00360B2D"/>
    <w:rsid w:val="004226A2"/>
    <w:rsid w:val="005E3C6F"/>
    <w:rsid w:val="006B3A96"/>
    <w:rsid w:val="006B6573"/>
    <w:rsid w:val="00777879"/>
    <w:rsid w:val="007A5404"/>
    <w:rsid w:val="008511F5"/>
    <w:rsid w:val="00856F29"/>
    <w:rsid w:val="00995482"/>
    <w:rsid w:val="009B25CB"/>
    <w:rsid w:val="009D13D8"/>
    <w:rsid w:val="00A44C12"/>
    <w:rsid w:val="00A94492"/>
    <w:rsid w:val="00C6632A"/>
    <w:rsid w:val="00C77C76"/>
    <w:rsid w:val="00CD3353"/>
    <w:rsid w:val="00CF215F"/>
    <w:rsid w:val="00DF7471"/>
    <w:rsid w:val="00E87E0A"/>
    <w:rsid w:val="00EA5BF2"/>
    <w:rsid w:val="00F1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6E4B"/>
  <w15:chartTrackingRefBased/>
  <w15:docId w15:val="{4CEA59AE-E3A6-474F-A429-8A893ACD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C76"/>
    <w:rPr>
      <w:rFonts w:eastAsiaTheme="majorEastAsia" w:cstheme="majorBidi"/>
      <w:color w:val="272727" w:themeColor="text1" w:themeTint="D8"/>
    </w:rPr>
  </w:style>
  <w:style w:type="paragraph" w:styleId="Title">
    <w:name w:val="Title"/>
    <w:basedOn w:val="Normal"/>
    <w:next w:val="Normal"/>
    <w:link w:val="TitleChar"/>
    <w:uiPriority w:val="10"/>
    <w:qFormat/>
    <w:rsid w:val="00C77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C76"/>
    <w:pPr>
      <w:spacing w:before="160"/>
      <w:jc w:val="center"/>
    </w:pPr>
    <w:rPr>
      <w:i/>
      <w:iCs/>
      <w:color w:val="404040" w:themeColor="text1" w:themeTint="BF"/>
    </w:rPr>
  </w:style>
  <w:style w:type="character" w:customStyle="1" w:styleId="QuoteChar">
    <w:name w:val="Quote Char"/>
    <w:basedOn w:val="DefaultParagraphFont"/>
    <w:link w:val="Quote"/>
    <w:uiPriority w:val="29"/>
    <w:rsid w:val="00C77C76"/>
    <w:rPr>
      <w:i/>
      <w:iCs/>
      <w:color w:val="404040" w:themeColor="text1" w:themeTint="BF"/>
    </w:rPr>
  </w:style>
  <w:style w:type="paragraph" w:styleId="ListParagraph">
    <w:name w:val="List Paragraph"/>
    <w:basedOn w:val="Normal"/>
    <w:uiPriority w:val="34"/>
    <w:qFormat/>
    <w:rsid w:val="00C77C76"/>
    <w:pPr>
      <w:ind w:left="720"/>
      <w:contextualSpacing/>
    </w:pPr>
  </w:style>
  <w:style w:type="character" w:styleId="IntenseEmphasis">
    <w:name w:val="Intense Emphasis"/>
    <w:basedOn w:val="DefaultParagraphFont"/>
    <w:uiPriority w:val="21"/>
    <w:qFormat/>
    <w:rsid w:val="00C77C76"/>
    <w:rPr>
      <w:i/>
      <w:iCs/>
      <w:color w:val="0F4761" w:themeColor="accent1" w:themeShade="BF"/>
    </w:rPr>
  </w:style>
  <w:style w:type="paragraph" w:styleId="IntenseQuote">
    <w:name w:val="Intense Quote"/>
    <w:basedOn w:val="Normal"/>
    <w:next w:val="Normal"/>
    <w:link w:val="IntenseQuoteChar"/>
    <w:uiPriority w:val="30"/>
    <w:qFormat/>
    <w:rsid w:val="00C77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C76"/>
    <w:rPr>
      <w:i/>
      <w:iCs/>
      <w:color w:val="0F4761" w:themeColor="accent1" w:themeShade="BF"/>
    </w:rPr>
  </w:style>
  <w:style w:type="character" w:styleId="IntenseReference">
    <w:name w:val="Intense Reference"/>
    <w:basedOn w:val="DefaultParagraphFont"/>
    <w:uiPriority w:val="32"/>
    <w:qFormat/>
    <w:rsid w:val="00C77C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Lewis County</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Lester</dc:creator>
  <cp:keywords/>
  <dc:description/>
  <cp:lastModifiedBy>Rachel Lester</cp:lastModifiedBy>
  <cp:revision>2</cp:revision>
  <dcterms:created xsi:type="dcterms:W3CDTF">2025-11-19T21:09:00Z</dcterms:created>
  <dcterms:modified xsi:type="dcterms:W3CDTF">2025-11-19T21:09:00Z</dcterms:modified>
</cp:coreProperties>
</file>